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color w:val="000000"/>
        </w:rPr>
      </w:pPr>
      <w:r>
        <w:rPr/>
        <w:drawing>
          <wp:inline distT="0" distB="0" distL="0" distR="0">
            <wp:extent cx="581025" cy="742950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9995" w:type="dxa"/>
        <w:jc w:val="center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9995"/>
      </w:tblGrid>
      <w:tr>
        <w:trPr/>
        <w:tc>
          <w:tcPr>
            <w:tcW w:w="9995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ДЕПАРТАМЕНТ  СОЦИАЛЬНОЙ  ПОЛИТИКИ  ЧУКОТСКОГО  АВТОНОМНОГО  ОКРУГА</w:t>
            </w:r>
          </w:p>
        </w:tc>
      </w:tr>
    </w:tbl>
    <w:p>
      <w:pPr>
        <w:pStyle w:val="1"/>
        <w:rPr>
          <w:b w:val="false"/>
          <w:b w:val="false"/>
          <w:szCs w:val="28"/>
          <w:lang w:val="ru-RU"/>
        </w:rPr>
      </w:pPr>
      <w:r>
        <w:rPr>
          <w:b w:val="false"/>
          <w:szCs w:val="28"/>
          <w:lang w:val="ru-RU"/>
        </w:rPr>
      </w:r>
    </w:p>
    <w:p>
      <w:pPr>
        <w:pStyle w:val="1"/>
        <w:rPr>
          <w:sz w:val="26"/>
          <w:szCs w:val="26"/>
          <w:lang w:val="ru-RU"/>
        </w:rPr>
      </w:pPr>
      <w:r>
        <w:rPr>
          <w:sz w:val="26"/>
          <w:szCs w:val="26"/>
        </w:rPr>
        <w:t>П Р И К А З</w:t>
      </w:r>
    </w:p>
    <w:p>
      <w:pPr>
        <w:pStyle w:val="Normal"/>
        <w:rPr>
          <w:lang w:eastAsia="x-none"/>
        </w:rPr>
      </w:pPr>
      <w:r>
        <w:rPr>
          <w:lang w:eastAsia="x-none"/>
        </w:rPr>
      </w:r>
    </w:p>
    <w:p>
      <w:pPr>
        <w:pStyle w:val="Normal"/>
        <w:rPr>
          <w:lang w:eastAsia="x-none"/>
        </w:rPr>
      </w:pPr>
      <w:r>
        <w:rPr>
          <w:lang w:eastAsia="x-none"/>
        </w:rPr>
      </w:r>
    </w:p>
    <w:tbl>
      <w:tblPr>
        <w:tblW w:w="9692" w:type="dxa"/>
        <w:jc w:val="left"/>
        <w:tblInd w:w="18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603"/>
        <w:gridCol w:w="3262"/>
        <w:gridCol w:w="235"/>
        <w:gridCol w:w="608"/>
        <w:gridCol w:w="1126"/>
        <w:gridCol w:w="3857"/>
      </w:tblGrid>
      <w:tr>
        <w:trPr/>
        <w:tc>
          <w:tcPr>
            <w:tcW w:w="603" w:type="dxa"/>
            <w:tcBorders/>
            <w:shd w:color="auto" w:fill="auto" w:val="clear"/>
            <w:vAlign w:val="center"/>
          </w:tcPr>
          <w:p>
            <w:pPr>
              <w:pStyle w:val="Style19"/>
              <w:tabs>
                <w:tab w:val="left" w:pos="708" w:leader="none"/>
                <w:tab w:val="center" w:pos="4153" w:leader="none"/>
                <w:tab w:val="right" w:pos="8306" w:leader="none"/>
              </w:tabs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от </w:t>
            </w:r>
          </w:p>
        </w:tc>
        <w:tc>
          <w:tcPr>
            <w:tcW w:w="3262" w:type="dxa"/>
            <w:tcBorders/>
            <w:shd w:color="auto" w:fill="auto" w:val="clear"/>
            <w:vAlign w:val="center"/>
          </w:tcPr>
          <w:p>
            <w:pPr>
              <w:pStyle w:val="Style19"/>
              <w:tabs>
                <w:tab w:val="left" w:pos="708" w:leader="none"/>
                <w:tab w:val="center" w:pos="4153" w:leader="none"/>
                <w:tab w:val="right" w:pos="8306" w:leader="none"/>
              </w:tabs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10.07.2020 года</w:t>
            </w:r>
          </w:p>
        </w:tc>
        <w:tc>
          <w:tcPr>
            <w:tcW w:w="235" w:type="dxa"/>
            <w:tcBorders/>
            <w:shd w:color="auto" w:fill="auto" w:val="clear"/>
            <w:vAlign w:val="center"/>
          </w:tcPr>
          <w:p>
            <w:pPr>
              <w:pStyle w:val="Style19"/>
              <w:tabs>
                <w:tab w:val="left" w:pos="708" w:leader="none"/>
                <w:tab w:val="center" w:pos="4153" w:leader="none"/>
                <w:tab w:val="right" w:pos="8306" w:leader="none"/>
              </w:tabs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</w:r>
          </w:p>
        </w:tc>
        <w:tc>
          <w:tcPr>
            <w:tcW w:w="608" w:type="dxa"/>
            <w:tcBorders/>
            <w:shd w:color="auto" w:fill="auto" w:val="clear"/>
            <w:vAlign w:val="center"/>
          </w:tcPr>
          <w:p>
            <w:pPr>
              <w:pStyle w:val="Style19"/>
              <w:tabs>
                <w:tab w:val="left" w:pos="708" w:leader="none"/>
                <w:tab w:val="center" w:pos="4153" w:leader="none"/>
                <w:tab w:val="right" w:pos="8306" w:leader="none"/>
              </w:tabs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№</w:t>
            </w:r>
          </w:p>
        </w:tc>
        <w:tc>
          <w:tcPr>
            <w:tcW w:w="1126" w:type="dxa"/>
            <w:tcBorders/>
            <w:shd w:color="auto" w:fill="auto" w:val="clear"/>
            <w:vAlign w:val="center"/>
          </w:tcPr>
          <w:p>
            <w:pPr>
              <w:pStyle w:val="Style19"/>
              <w:tabs>
                <w:tab w:val="left" w:pos="708" w:leader="none"/>
                <w:tab w:val="center" w:pos="4153" w:leader="none"/>
                <w:tab w:val="right" w:pos="8306" w:leader="none"/>
              </w:tabs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773</w:t>
            </w:r>
          </w:p>
        </w:tc>
        <w:tc>
          <w:tcPr>
            <w:tcW w:w="3857" w:type="dxa"/>
            <w:tcBorders/>
            <w:shd w:color="auto" w:fill="auto" w:val="clear"/>
            <w:vAlign w:val="center"/>
          </w:tcPr>
          <w:p>
            <w:pPr>
              <w:pStyle w:val="Style19"/>
              <w:tabs>
                <w:tab w:val="left" w:pos="708" w:leader="none"/>
                <w:tab w:val="center" w:pos="4153" w:leader="none"/>
                <w:tab w:val="right" w:pos="8306" w:leader="none"/>
              </w:tabs>
              <w:jc w:val="right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г. Анадырь</w:t>
            </w:r>
          </w:p>
        </w:tc>
      </w:tr>
    </w:tbl>
    <w:p>
      <w:pPr>
        <w:pStyle w:val="Normal"/>
        <w:numPr>
          <w:ilvl w:val="0"/>
          <w:numId w:val="0"/>
        </w:numPr>
        <w:jc w:val="both"/>
        <w:outlineLvl w:val="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12"/>
        <w:numPr>
          <w:ilvl w:val="0"/>
          <w:numId w:val="0"/>
        </w:numPr>
        <w:ind w:firstLine="520"/>
        <w:outlineLvl w:val="2"/>
        <w:rPr>
          <w:sz w:val="26"/>
          <w:szCs w:val="26"/>
        </w:rPr>
      </w:pPr>
      <w:r>
        <w:rPr>
          <w:sz w:val="26"/>
          <w:szCs w:val="26"/>
        </w:rPr>
      </w:r>
    </w:p>
    <w:tbl>
      <w:tblPr>
        <w:tblW w:w="4343" w:type="dxa"/>
        <w:jc w:val="left"/>
        <w:tblInd w:w="111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4343"/>
      </w:tblGrid>
      <w:tr>
        <w:trPr/>
        <w:tc>
          <w:tcPr>
            <w:tcW w:w="4343" w:type="dxa"/>
            <w:tcBorders/>
            <w:shd w:color="auto" w:fill="auto" w:val="clear"/>
          </w:tcPr>
          <w:p>
            <w:pPr>
              <w:pStyle w:val="12"/>
              <w:numPr>
                <w:ilvl w:val="0"/>
                <w:numId w:val="0"/>
              </w:numPr>
              <w:spacing w:lineRule="auto" w:line="240"/>
              <w:ind w:hanging="0"/>
              <w:outlineLvl w:val="2"/>
              <w:rPr/>
            </w:pPr>
            <w:r>
              <w:rPr>
                <w:sz w:val="26"/>
                <w:szCs w:val="26"/>
              </w:rPr>
              <w:t>Об утверждении состава Комиссии по соблюдению требований к служебному поведению государственных гражданских служащих Департамента и урегулированию конфликта интересов</w:t>
            </w:r>
          </w:p>
        </w:tc>
      </w:tr>
    </w:tbl>
    <w:p>
      <w:pPr>
        <w:pStyle w:val="1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12"/>
        <w:spacing w:lineRule="auto" w:line="240"/>
        <w:ind w:firstLine="851"/>
        <w:rPr/>
      </w:pPr>
      <w:r>
        <w:rPr>
          <w:sz w:val="26"/>
          <w:szCs w:val="26"/>
        </w:rPr>
        <w:t>В соответствии с Федеральным законом от 25.12.2008 № 273-ФЗ «О противодействии коррупции», Указом Президента Российской Федерации от 01.07.2010 № 821 «О Комиссиях по соблюдению требований к служебному поведению федеральных государственных служащих и урегулированию конфликта интересов» и П</w:t>
      </w:r>
      <w:bookmarkStart w:id="0" w:name="_GoBack"/>
      <w:bookmarkEnd w:id="0"/>
      <w:r>
        <w:rPr>
          <w:sz w:val="26"/>
          <w:szCs w:val="26"/>
        </w:rPr>
        <w:t>риказом Департамента социальной политики Чукотского автономного округа от 29.11.2016 года  № 2374 «Об утверждении Положения о Комиссии по соблюдению требований к служебному поведению государственных гражданских служащих Департамента и урегулированию конфликта интересов»</w:t>
      </w:r>
    </w:p>
    <w:p>
      <w:pPr>
        <w:pStyle w:val="12"/>
        <w:spacing w:lineRule="auto" w:line="24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12"/>
        <w:spacing w:lineRule="auto" w:line="240"/>
        <w:ind w:hanging="0"/>
        <w:rPr/>
      </w:pPr>
      <w:r>
        <w:rPr>
          <w:b/>
          <w:bCs/>
          <w:sz w:val="26"/>
          <w:szCs w:val="26"/>
        </w:rPr>
        <w:t>ПРИКАЗЫВАЮ:</w:t>
      </w:r>
    </w:p>
    <w:p>
      <w:pPr>
        <w:pStyle w:val="12"/>
        <w:spacing w:lineRule="auto" w:line="240"/>
        <w:jc w:val="center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</w:r>
    </w:p>
    <w:p>
      <w:pPr>
        <w:pStyle w:val="12"/>
        <w:numPr>
          <w:ilvl w:val="0"/>
          <w:numId w:val="1"/>
        </w:numPr>
        <w:spacing w:lineRule="auto" w:line="240"/>
        <w:ind w:left="0" w:firstLine="720"/>
        <w:rPr/>
      </w:pPr>
      <w:r>
        <w:rPr>
          <w:sz w:val="26"/>
          <w:szCs w:val="26"/>
        </w:rPr>
        <w:t xml:space="preserve">Утвердить состав Комиссии по соблюдению требований к служебному поведению государственных гражданских служащих Департамента и урегулированию конфликта интересов согласно приложению к настоящему приказу. </w:t>
      </w:r>
    </w:p>
    <w:p>
      <w:pPr>
        <w:pStyle w:val="12"/>
        <w:numPr>
          <w:ilvl w:val="0"/>
          <w:numId w:val="1"/>
        </w:numPr>
        <w:spacing w:lineRule="auto" w:line="240"/>
        <w:ind w:left="0" w:firstLine="850"/>
        <w:rPr/>
      </w:pPr>
      <w:r>
        <w:rPr>
          <w:sz w:val="26"/>
          <w:szCs w:val="26"/>
        </w:rPr>
        <w:t>Приказ Департамента социальной политики Чукотского автономного округа от 30 декабря 2019 года № 1606 «Об утверждении состава Комиссии по соблюдению требований к служебному поведению государственных гражданских служащих Департамента и урегулированию конфликта интересов» считать утратившим силу.</w:t>
      </w:r>
    </w:p>
    <w:p>
      <w:pPr>
        <w:pStyle w:val="12"/>
        <w:numPr>
          <w:ilvl w:val="0"/>
          <w:numId w:val="1"/>
        </w:numPr>
        <w:spacing w:lineRule="auto" w:line="240" w:before="0" w:after="120"/>
        <w:ind w:left="0" w:firstLine="720"/>
        <w:outlineLvl w:val="2"/>
        <w:rPr/>
      </w:pPr>
      <w:r>
        <w:rPr>
          <w:sz w:val="26"/>
          <w:szCs w:val="26"/>
        </w:rPr>
        <w:t>Контроль за исполнением настоящего приказа оставляю за собой.</w:t>
      </w:r>
    </w:p>
    <w:p>
      <w:pPr>
        <w:pStyle w:val="12"/>
        <w:numPr>
          <w:ilvl w:val="0"/>
          <w:numId w:val="0"/>
        </w:numPr>
        <w:spacing w:lineRule="auto" w:line="240" w:before="0" w:after="120"/>
        <w:ind w:firstLine="520"/>
        <w:outlineLvl w:val="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12"/>
        <w:numPr>
          <w:ilvl w:val="0"/>
          <w:numId w:val="0"/>
        </w:numPr>
        <w:spacing w:lineRule="auto" w:line="240" w:before="0" w:after="120"/>
        <w:ind w:firstLine="520"/>
        <w:outlineLvl w:val="2"/>
        <w:rPr/>
      </w:pPr>
      <w:r>
        <w:rPr/>
        <w:drawing>
          <wp:anchor behindDoc="0" distT="0" distB="0" distL="0" distR="114300" simplePos="0" locked="0" layoutInCell="1" allowOverlap="1" relativeHeight="3">
            <wp:simplePos x="0" y="0"/>
            <wp:positionH relativeFrom="margin">
              <wp:align>left</wp:align>
            </wp:positionH>
            <wp:positionV relativeFrom="margin">
              <wp:align>bottom</wp:align>
            </wp:positionV>
            <wp:extent cx="4539615" cy="1080135"/>
            <wp:effectExtent l="0" t="0" r="0" b="0"/>
            <wp:wrapNone/>
            <wp:docPr id="2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9615" cy="10801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  <w:r>
        <w:br w:type="page"/>
      </w:r>
    </w:p>
    <w:p>
      <w:pPr>
        <w:pStyle w:val="12"/>
        <w:tabs>
          <w:tab w:val="center" w:pos="4153" w:leader="none"/>
          <w:tab w:val="right" w:pos="8306" w:leader="none"/>
        </w:tabs>
        <w:spacing w:lineRule="auto" w:line="240"/>
        <w:jc w:val="right"/>
        <w:rPr/>
      </w:pPr>
      <w:r>
        <w:rPr>
          <w:sz w:val="22"/>
          <w:szCs w:val="22"/>
        </w:rPr>
        <w:t>Приложение</w:t>
      </w:r>
    </w:p>
    <w:p>
      <w:pPr>
        <w:pStyle w:val="12"/>
        <w:tabs>
          <w:tab w:val="center" w:pos="4153" w:leader="none"/>
          <w:tab w:val="right" w:pos="8306" w:leader="none"/>
        </w:tabs>
        <w:spacing w:lineRule="auto" w:line="240"/>
        <w:jc w:val="right"/>
        <w:rPr/>
      </w:pPr>
      <w:r>
        <w:rPr>
          <w:sz w:val="22"/>
          <w:szCs w:val="22"/>
        </w:rPr>
        <w:t>к приказу Департамента социальной политики</w:t>
      </w:r>
    </w:p>
    <w:p>
      <w:pPr>
        <w:pStyle w:val="12"/>
        <w:tabs>
          <w:tab w:val="center" w:pos="4153" w:leader="none"/>
          <w:tab w:val="right" w:pos="8306" w:leader="none"/>
        </w:tabs>
        <w:spacing w:lineRule="auto" w:line="240"/>
        <w:jc w:val="right"/>
        <w:rPr/>
      </w:pPr>
      <w:r>
        <w:rPr>
          <w:sz w:val="22"/>
          <w:szCs w:val="22"/>
        </w:rPr>
        <w:t>Чукотского автономного округа</w:t>
      </w:r>
    </w:p>
    <w:p>
      <w:pPr>
        <w:pStyle w:val="12"/>
        <w:spacing w:lineRule="auto" w:line="240"/>
        <w:jc w:val="right"/>
        <w:rPr/>
      </w:pPr>
      <w:r>
        <w:rPr>
          <w:sz w:val="22"/>
          <w:szCs w:val="22"/>
        </w:rPr>
        <w:t xml:space="preserve">от </w:t>
      </w:r>
      <w:r>
        <w:rPr>
          <w:sz w:val="22"/>
          <w:szCs w:val="22"/>
        </w:rPr>
        <w:t>10.07.2020</w:t>
      </w:r>
      <w:r>
        <w:rPr>
          <w:sz w:val="22"/>
          <w:szCs w:val="22"/>
        </w:rPr>
        <w:t xml:space="preserve"> </w:t>
      </w:r>
      <w:r>
        <w:rPr>
          <w:b/>
          <w:bCs/>
          <w:sz w:val="26"/>
          <w:szCs w:val="26"/>
        </w:rPr>
        <w:t xml:space="preserve"> </w:t>
      </w:r>
      <w:r>
        <w:rPr>
          <w:sz w:val="22"/>
          <w:szCs w:val="22"/>
        </w:rPr>
        <w:t>года  №</w:t>
      </w:r>
      <w:r>
        <w:rPr>
          <w:sz w:val="22"/>
          <w:szCs w:val="22"/>
        </w:rPr>
        <w:t>773</w:t>
      </w:r>
    </w:p>
    <w:p>
      <w:pPr>
        <w:pStyle w:val="12"/>
        <w:spacing w:lineRule="auto" w:line="240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12"/>
        <w:spacing w:lineRule="auto" w:line="240"/>
        <w:jc w:val="center"/>
        <w:rPr/>
      </w:pPr>
      <w:r>
        <w:rPr>
          <w:b/>
          <w:bCs/>
        </w:rPr>
        <w:t xml:space="preserve">Состав </w:t>
      </w:r>
    </w:p>
    <w:p>
      <w:pPr>
        <w:pStyle w:val="12"/>
        <w:spacing w:lineRule="auto" w:line="240"/>
        <w:jc w:val="center"/>
        <w:rPr/>
      </w:pPr>
      <w:r>
        <w:rPr>
          <w:b/>
          <w:bCs/>
        </w:rPr>
        <w:t>Комиссии по соблюдению требований к служебному поведению государственных гражданских служащих Департамента социальной политики Чукотского автономного округа и урегулированию конфликта интересов</w:t>
      </w:r>
    </w:p>
    <w:p>
      <w:pPr>
        <w:pStyle w:val="12"/>
        <w:spacing w:lineRule="auto" w:line="240"/>
        <w:rPr/>
      </w:pPr>
      <w:r>
        <w:rPr/>
      </w:r>
    </w:p>
    <w:tbl>
      <w:tblPr>
        <w:tblW w:w="9745" w:type="dxa"/>
        <w:jc w:val="left"/>
        <w:tblInd w:w="120" w:type="dxa"/>
        <w:tblBorders/>
        <w:tblCellMar>
          <w:top w:w="0" w:type="dxa"/>
          <w:left w:w="113" w:type="dxa"/>
          <w:bottom w:w="34" w:type="dxa"/>
          <w:right w:w="108" w:type="dxa"/>
        </w:tblCellMar>
        <w:tblLook w:firstRow="1" w:noVBand="0" w:lastRow="1" w:firstColumn="1" w:lastColumn="1" w:noHBand="0" w:val="01e0"/>
      </w:tblPr>
      <w:tblGrid>
        <w:gridCol w:w="2980"/>
        <w:gridCol w:w="341"/>
        <w:gridCol w:w="6424"/>
      </w:tblGrid>
      <w:tr>
        <w:trPr/>
        <w:tc>
          <w:tcPr>
            <w:tcW w:w="2980" w:type="dxa"/>
            <w:tcBorders/>
            <w:shd w:color="auto" w:fill="auto" w:val="clear"/>
          </w:tcPr>
          <w:p>
            <w:pPr>
              <w:pStyle w:val="12"/>
              <w:tabs>
                <w:tab w:val="center" w:pos="4153" w:leader="none"/>
                <w:tab w:val="right" w:pos="8306" w:leader="none"/>
              </w:tabs>
              <w:spacing w:lineRule="auto" w:line="240"/>
              <w:ind w:hanging="0"/>
              <w:rPr/>
            </w:pPr>
            <w:r>
              <w:rPr>
                <w:szCs w:val="24"/>
              </w:rPr>
              <w:t>Зубарева</w:t>
            </w:r>
          </w:p>
          <w:p>
            <w:pPr>
              <w:pStyle w:val="12"/>
              <w:tabs>
                <w:tab w:val="center" w:pos="4153" w:leader="none"/>
                <w:tab w:val="right" w:pos="8306" w:leader="none"/>
              </w:tabs>
              <w:spacing w:lineRule="auto" w:line="240"/>
              <w:ind w:hanging="0"/>
              <w:rPr/>
            </w:pPr>
            <w:r>
              <w:rPr>
                <w:szCs w:val="24"/>
              </w:rPr>
              <w:t>Елена Николаевна</w:t>
            </w:r>
          </w:p>
        </w:tc>
        <w:tc>
          <w:tcPr>
            <w:tcW w:w="341" w:type="dxa"/>
            <w:tcBorders/>
            <w:shd w:color="auto" w:fill="auto" w:val="clear"/>
          </w:tcPr>
          <w:p>
            <w:pPr>
              <w:pStyle w:val="12"/>
              <w:tabs>
                <w:tab w:val="center" w:pos="4153" w:leader="none"/>
                <w:tab w:val="right" w:pos="8306" w:leader="none"/>
              </w:tabs>
              <w:spacing w:lineRule="auto" w:line="240"/>
              <w:ind w:hanging="0"/>
              <w:rPr/>
            </w:pPr>
            <w:r>
              <w:rPr>
                <w:szCs w:val="24"/>
              </w:rPr>
              <w:t>–</w:t>
            </w:r>
          </w:p>
        </w:tc>
        <w:tc>
          <w:tcPr>
            <w:tcW w:w="6424" w:type="dxa"/>
            <w:tcBorders/>
            <w:shd w:color="auto" w:fill="auto" w:val="clear"/>
          </w:tcPr>
          <w:p>
            <w:pPr>
              <w:pStyle w:val="12"/>
              <w:tabs>
                <w:tab w:val="center" w:pos="4153" w:leader="none"/>
                <w:tab w:val="right" w:pos="8306" w:leader="none"/>
              </w:tabs>
              <w:spacing w:lineRule="auto" w:line="240"/>
              <w:ind w:hanging="0"/>
              <w:rPr/>
            </w:pPr>
            <w:r>
              <w:rPr>
                <w:szCs w:val="24"/>
              </w:rPr>
              <w:t>заместитель начальника Департамента социальной политики Чукотского автономного округа, начальник Управления занятости населения, председатель комиссии;</w:t>
            </w:r>
          </w:p>
        </w:tc>
      </w:tr>
      <w:tr>
        <w:trPr/>
        <w:tc>
          <w:tcPr>
            <w:tcW w:w="2980" w:type="dxa"/>
            <w:tcBorders/>
            <w:shd w:color="auto" w:fill="auto" w:val="clear"/>
          </w:tcPr>
          <w:p>
            <w:pPr>
              <w:pStyle w:val="12"/>
              <w:tabs>
                <w:tab w:val="center" w:pos="4153" w:leader="none"/>
                <w:tab w:val="right" w:pos="8306" w:leader="none"/>
              </w:tabs>
              <w:spacing w:lineRule="auto" w:line="240"/>
              <w:ind w:hanging="0"/>
              <w:rPr/>
            </w:pPr>
            <w:r>
              <w:rPr>
                <w:szCs w:val="24"/>
              </w:rPr>
              <w:t>Коновалова</w:t>
            </w:r>
          </w:p>
          <w:p>
            <w:pPr>
              <w:pStyle w:val="12"/>
              <w:tabs>
                <w:tab w:val="center" w:pos="4153" w:leader="none"/>
                <w:tab w:val="right" w:pos="8306" w:leader="none"/>
              </w:tabs>
              <w:spacing w:lineRule="auto" w:line="240"/>
              <w:ind w:hanging="0"/>
              <w:rPr/>
            </w:pPr>
            <w:r>
              <w:rPr>
                <w:szCs w:val="24"/>
              </w:rPr>
              <w:t>Татьяна Геннадьевна</w:t>
            </w:r>
          </w:p>
        </w:tc>
        <w:tc>
          <w:tcPr>
            <w:tcW w:w="341" w:type="dxa"/>
            <w:tcBorders/>
            <w:shd w:color="auto" w:fill="auto" w:val="clear"/>
          </w:tcPr>
          <w:p>
            <w:pPr>
              <w:pStyle w:val="12"/>
              <w:tabs>
                <w:tab w:val="center" w:pos="4153" w:leader="none"/>
                <w:tab w:val="right" w:pos="8306" w:leader="none"/>
              </w:tabs>
              <w:spacing w:lineRule="auto" w:line="240"/>
              <w:ind w:hanging="0"/>
              <w:rPr/>
            </w:pPr>
            <w:r>
              <w:rPr>
                <w:szCs w:val="24"/>
              </w:rPr>
              <w:t>–</w:t>
            </w:r>
          </w:p>
        </w:tc>
        <w:tc>
          <w:tcPr>
            <w:tcW w:w="6424" w:type="dxa"/>
            <w:tcBorders/>
            <w:shd w:color="auto" w:fill="auto" w:val="clear"/>
          </w:tcPr>
          <w:p>
            <w:pPr>
              <w:pStyle w:val="12"/>
              <w:tabs>
                <w:tab w:val="center" w:pos="4153" w:leader="none"/>
                <w:tab w:val="right" w:pos="8306" w:leader="none"/>
              </w:tabs>
              <w:spacing w:lineRule="auto" w:line="240"/>
              <w:ind w:hanging="0"/>
              <w:rPr/>
            </w:pPr>
            <w:r>
              <w:rPr>
                <w:szCs w:val="24"/>
              </w:rPr>
              <w:t>начальник о</w:t>
            </w:r>
            <w:r>
              <w:rPr>
                <w:color w:val="00000A"/>
                <w:szCs w:val="24"/>
              </w:rPr>
              <w:t>тдела дополнительного пенсионного обеспечения и государственной службы Департамента социальной политики Чукотского автономного округа</w:t>
            </w:r>
            <w:r>
              <w:rPr>
                <w:szCs w:val="24"/>
              </w:rPr>
              <w:t>, заместитель председателя комиссии;</w:t>
            </w:r>
          </w:p>
        </w:tc>
      </w:tr>
      <w:tr>
        <w:trPr/>
        <w:tc>
          <w:tcPr>
            <w:tcW w:w="2980" w:type="dxa"/>
            <w:tcBorders/>
            <w:shd w:color="auto" w:fill="auto" w:val="clear"/>
          </w:tcPr>
          <w:p>
            <w:pPr>
              <w:pStyle w:val="12"/>
              <w:tabs>
                <w:tab w:val="center" w:pos="4153" w:leader="none"/>
                <w:tab w:val="right" w:pos="8306" w:leader="none"/>
              </w:tabs>
              <w:spacing w:lineRule="auto" w:line="240"/>
              <w:ind w:hanging="0"/>
              <w:rPr/>
            </w:pPr>
            <w:r>
              <w:rPr>
                <w:szCs w:val="24"/>
              </w:rPr>
              <w:t>Поддубная</w:t>
            </w:r>
          </w:p>
          <w:p>
            <w:pPr>
              <w:pStyle w:val="12"/>
              <w:tabs>
                <w:tab w:val="center" w:pos="4153" w:leader="none"/>
                <w:tab w:val="right" w:pos="8306" w:leader="none"/>
              </w:tabs>
              <w:spacing w:lineRule="auto" w:line="240"/>
              <w:ind w:hanging="0"/>
              <w:rPr/>
            </w:pPr>
            <w:r>
              <w:rPr>
                <w:szCs w:val="24"/>
              </w:rPr>
              <w:t>Елена Николаевна</w:t>
            </w:r>
          </w:p>
          <w:p>
            <w:pPr>
              <w:pStyle w:val="12"/>
              <w:tabs>
                <w:tab w:val="center" w:pos="4153" w:leader="none"/>
                <w:tab w:val="right" w:pos="8306" w:leader="none"/>
              </w:tabs>
              <w:spacing w:lineRule="auto" w:line="240"/>
              <w:ind w:hanging="0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341" w:type="dxa"/>
            <w:tcBorders/>
            <w:shd w:color="auto" w:fill="auto" w:val="clear"/>
          </w:tcPr>
          <w:p>
            <w:pPr>
              <w:pStyle w:val="12"/>
              <w:tabs>
                <w:tab w:val="center" w:pos="4153" w:leader="none"/>
                <w:tab w:val="right" w:pos="8306" w:leader="none"/>
              </w:tabs>
              <w:spacing w:lineRule="auto" w:line="240"/>
              <w:ind w:hanging="0"/>
              <w:rPr/>
            </w:pPr>
            <w:r>
              <w:rPr>
                <w:szCs w:val="24"/>
              </w:rPr>
              <w:t>–</w:t>
            </w:r>
          </w:p>
        </w:tc>
        <w:tc>
          <w:tcPr>
            <w:tcW w:w="6424" w:type="dxa"/>
            <w:tcBorders/>
            <w:shd w:color="auto" w:fill="auto" w:val="clear"/>
          </w:tcPr>
          <w:p>
            <w:pPr>
              <w:pStyle w:val="12"/>
              <w:tabs>
                <w:tab w:val="center" w:pos="4153" w:leader="none"/>
                <w:tab w:val="right" w:pos="8306" w:leader="none"/>
              </w:tabs>
              <w:spacing w:lineRule="auto" w:line="240"/>
              <w:ind w:hanging="0"/>
              <w:rPr/>
            </w:pPr>
            <w:r>
              <w:rPr>
                <w:szCs w:val="24"/>
              </w:rPr>
              <w:t>ведущий юрисконсульт о</w:t>
            </w:r>
            <w:r>
              <w:rPr>
                <w:color w:val="00000A"/>
                <w:szCs w:val="24"/>
              </w:rPr>
              <w:t>тдела дополнительного пенсионного обеспечения и государственной службы Департамента социальной политики Чукотского автономного округа</w:t>
            </w:r>
            <w:r>
              <w:rPr>
                <w:szCs w:val="24"/>
              </w:rPr>
              <w:t>, секретарь комиссии</w:t>
            </w:r>
          </w:p>
        </w:tc>
      </w:tr>
      <w:tr>
        <w:trPr/>
        <w:tc>
          <w:tcPr>
            <w:tcW w:w="2980" w:type="dxa"/>
            <w:tcBorders/>
            <w:shd w:color="auto" w:fill="auto" w:val="clear"/>
          </w:tcPr>
          <w:p>
            <w:pPr>
              <w:pStyle w:val="12"/>
              <w:tabs>
                <w:tab w:val="center" w:pos="4153" w:leader="none"/>
                <w:tab w:val="right" w:pos="8306" w:leader="none"/>
              </w:tabs>
              <w:spacing w:lineRule="auto" w:line="240"/>
              <w:ind w:hanging="7"/>
              <w:jc w:val="left"/>
              <w:rPr/>
            </w:pPr>
            <w:r>
              <w:rPr>
                <w:b/>
                <w:szCs w:val="24"/>
              </w:rPr>
              <w:t>Члены комиссии:</w:t>
            </w:r>
          </w:p>
        </w:tc>
        <w:tc>
          <w:tcPr>
            <w:tcW w:w="341" w:type="dxa"/>
            <w:tcBorders/>
            <w:shd w:color="auto" w:fill="auto" w:val="clear"/>
          </w:tcPr>
          <w:p>
            <w:pPr>
              <w:pStyle w:val="12"/>
              <w:tabs>
                <w:tab w:val="center" w:pos="4153" w:leader="none"/>
                <w:tab w:val="right" w:pos="8306" w:leader="none"/>
              </w:tabs>
              <w:spacing w:lineRule="auto" w:line="240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6424" w:type="dxa"/>
            <w:tcBorders/>
            <w:shd w:color="auto" w:fill="auto" w:val="clear"/>
          </w:tcPr>
          <w:p>
            <w:pPr>
              <w:pStyle w:val="12"/>
              <w:tabs>
                <w:tab w:val="center" w:pos="4153" w:leader="none"/>
                <w:tab w:val="right" w:pos="8306" w:leader="none"/>
              </w:tabs>
              <w:spacing w:lineRule="auto" w:line="240"/>
              <w:rPr>
                <w:szCs w:val="24"/>
              </w:rPr>
            </w:pPr>
            <w:r>
              <w:rPr>
                <w:szCs w:val="24"/>
              </w:rPr>
            </w:r>
          </w:p>
        </w:tc>
      </w:tr>
      <w:tr>
        <w:trPr/>
        <w:tc>
          <w:tcPr>
            <w:tcW w:w="2980" w:type="dxa"/>
            <w:tcBorders/>
            <w:shd w:color="auto" w:fill="auto" w:val="clear"/>
          </w:tcPr>
          <w:p>
            <w:pPr>
              <w:pStyle w:val="Normal"/>
              <w:tabs>
                <w:tab w:val="center" w:pos="4153" w:leader="none"/>
                <w:tab w:val="right" w:pos="8306" w:leader="none"/>
              </w:tabs>
              <w:suppressAutoHyphens w:val="true"/>
              <w:rPr/>
            </w:pPr>
            <w:r>
              <w:rPr/>
              <w:t xml:space="preserve">Логутенко </w:t>
            </w:r>
          </w:p>
          <w:p>
            <w:pPr>
              <w:pStyle w:val="Normal"/>
              <w:tabs>
                <w:tab w:val="center" w:pos="4153" w:leader="none"/>
                <w:tab w:val="right" w:pos="8306" w:leader="none"/>
              </w:tabs>
              <w:suppressAutoHyphens w:val="true"/>
              <w:rPr/>
            </w:pPr>
            <w:r>
              <w:rPr/>
              <w:t>Наталья Николаевна</w:t>
            </w:r>
          </w:p>
        </w:tc>
        <w:tc>
          <w:tcPr>
            <w:tcW w:w="341" w:type="dxa"/>
            <w:tcBorders/>
            <w:shd w:color="auto" w:fill="auto" w:val="clear"/>
          </w:tcPr>
          <w:p>
            <w:pPr>
              <w:pStyle w:val="12"/>
              <w:tabs>
                <w:tab w:val="center" w:pos="4153" w:leader="none"/>
                <w:tab w:val="right" w:pos="8306" w:leader="none"/>
              </w:tabs>
              <w:spacing w:lineRule="auto" w:line="240"/>
              <w:ind w:hanging="0"/>
              <w:rPr/>
            </w:pPr>
            <w:r>
              <w:rPr>
                <w:szCs w:val="24"/>
              </w:rPr>
              <w:t>–</w:t>
            </w:r>
          </w:p>
        </w:tc>
        <w:tc>
          <w:tcPr>
            <w:tcW w:w="6424" w:type="dxa"/>
            <w:tcBorders/>
            <w:shd w:color="auto" w:fill="auto" w:val="clear"/>
          </w:tcPr>
          <w:p>
            <w:pPr>
              <w:pStyle w:val="Normal"/>
              <w:tabs>
                <w:tab w:val="center" w:pos="4153" w:leader="none"/>
                <w:tab w:val="right" w:pos="8306" w:leader="none"/>
              </w:tabs>
              <w:jc w:val="both"/>
              <w:rPr/>
            </w:pPr>
            <w:r>
              <w:rPr/>
              <w:t>заместитель начальника Финансово-экономического управления Департамента социальной политики Чукотского автономного округа;</w:t>
            </w:r>
          </w:p>
        </w:tc>
      </w:tr>
      <w:tr>
        <w:trPr/>
        <w:tc>
          <w:tcPr>
            <w:tcW w:w="2980" w:type="dxa"/>
            <w:tcBorders/>
            <w:shd w:color="auto" w:fill="auto" w:val="clear"/>
          </w:tcPr>
          <w:p>
            <w:pPr>
              <w:pStyle w:val="Normal"/>
              <w:rPr/>
            </w:pPr>
            <w:r>
              <w:rPr>
                <w:bCs/>
              </w:rPr>
              <w:t>Шарафутдинова</w:t>
            </w:r>
          </w:p>
          <w:p>
            <w:pPr>
              <w:pStyle w:val="Normal"/>
              <w:rPr/>
            </w:pPr>
            <w:r>
              <w:rPr>
                <w:bCs/>
              </w:rPr>
              <w:t>Светлана Михайловна</w:t>
            </w:r>
          </w:p>
        </w:tc>
        <w:tc>
          <w:tcPr>
            <w:tcW w:w="341" w:type="dxa"/>
            <w:tcBorders/>
            <w:shd w:color="auto" w:fill="auto" w:val="clear"/>
          </w:tcPr>
          <w:p>
            <w:pPr>
              <w:pStyle w:val="12"/>
              <w:tabs>
                <w:tab w:val="center" w:pos="4153" w:leader="none"/>
                <w:tab w:val="right" w:pos="8306" w:leader="none"/>
              </w:tabs>
              <w:spacing w:lineRule="auto" w:line="240"/>
              <w:ind w:hanging="0"/>
              <w:rPr/>
            </w:pPr>
            <w:r>
              <w:rPr>
                <w:szCs w:val="24"/>
              </w:rPr>
              <w:t>–</w:t>
            </w:r>
          </w:p>
        </w:tc>
        <w:tc>
          <w:tcPr>
            <w:tcW w:w="6424" w:type="dxa"/>
            <w:tcBorders/>
            <w:shd w:color="auto" w:fill="auto" w:val="clear"/>
          </w:tcPr>
          <w:p>
            <w:pPr>
              <w:pStyle w:val="Normal"/>
              <w:jc w:val="both"/>
              <w:rPr/>
            </w:pPr>
            <w:r>
              <w:rPr/>
              <w:t>заместитель начальника Управления социальной поддержки населения Департамента социальной политики Чукотского автономного округа;</w:t>
            </w:r>
          </w:p>
        </w:tc>
      </w:tr>
      <w:tr>
        <w:trPr/>
        <w:tc>
          <w:tcPr>
            <w:tcW w:w="2980" w:type="dxa"/>
            <w:tcBorders/>
            <w:shd w:color="auto" w:fill="auto" w:val="clear"/>
          </w:tcPr>
          <w:p>
            <w:pPr>
              <w:pStyle w:val="12"/>
              <w:tabs>
                <w:tab w:val="center" w:pos="4153" w:leader="none"/>
                <w:tab w:val="right" w:pos="8306" w:leader="none"/>
              </w:tabs>
              <w:spacing w:lineRule="auto" w:line="240"/>
              <w:ind w:hanging="0"/>
              <w:rPr/>
            </w:pPr>
            <w:r>
              <w:rPr>
                <w:szCs w:val="24"/>
              </w:rPr>
              <w:t xml:space="preserve">Свеженцева </w:t>
            </w:r>
          </w:p>
          <w:p>
            <w:pPr>
              <w:pStyle w:val="12"/>
              <w:tabs>
                <w:tab w:val="center" w:pos="4153" w:leader="none"/>
                <w:tab w:val="right" w:pos="8306" w:leader="none"/>
              </w:tabs>
              <w:spacing w:lineRule="auto" w:line="240"/>
              <w:ind w:hanging="0"/>
              <w:rPr/>
            </w:pPr>
            <w:r>
              <w:rPr>
                <w:szCs w:val="24"/>
              </w:rPr>
              <w:t>Наталья Анатольевна</w:t>
            </w:r>
          </w:p>
        </w:tc>
        <w:tc>
          <w:tcPr>
            <w:tcW w:w="341" w:type="dxa"/>
            <w:tcBorders/>
            <w:shd w:color="auto" w:fill="auto" w:val="clear"/>
          </w:tcPr>
          <w:p>
            <w:pPr>
              <w:pStyle w:val="12"/>
              <w:tabs>
                <w:tab w:val="center" w:pos="4153" w:leader="none"/>
                <w:tab w:val="right" w:pos="8306" w:leader="none"/>
              </w:tabs>
              <w:spacing w:lineRule="auto" w:line="240"/>
              <w:ind w:hanging="0"/>
              <w:rPr/>
            </w:pPr>
            <w:r>
              <w:rPr>
                <w:szCs w:val="24"/>
              </w:rPr>
              <w:t>–</w:t>
            </w:r>
          </w:p>
        </w:tc>
        <w:tc>
          <w:tcPr>
            <w:tcW w:w="6424" w:type="dxa"/>
            <w:tcBorders/>
            <w:shd w:color="auto" w:fill="auto" w:val="clear"/>
          </w:tcPr>
          <w:p>
            <w:pPr>
              <w:pStyle w:val="12"/>
              <w:tabs>
                <w:tab w:val="center" w:pos="4153" w:leader="none"/>
                <w:tab w:val="right" w:pos="8306" w:leader="none"/>
              </w:tabs>
              <w:spacing w:lineRule="auto" w:line="240"/>
              <w:ind w:hanging="0"/>
              <w:rPr/>
            </w:pPr>
            <w:r>
              <w:rPr>
                <w:szCs w:val="24"/>
              </w:rPr>
              <w:t>заместитель начальника Управления занятости населения Департамента социальной политики Чукотского автономного округа, начальник отдела мониторинга рынка труда, охраны труда, содействия занятости населения и трудовой миграции;</w:t>
            </w:r>
          </w:p>
        </w:tc>
      </w:tr>
      <w:tr>
        <w:trPr/>
        <w:tc>
          <w:tcPr>
            <w:tcW w:w="2980" w:type="dxa"/>
            <w:tcBorders/>
            <w:shd w:color="auto" w:fill="auto" w:val="clear"/>
          </w:tcPr>
          <w:p>
            <w:pPr>
              <w:pStyle w:val="12"/>
              <w:tabs>
                <w:tab w:val="center" w:pos="4153" w:leader="none"/>
                <w:tab w:val="right" w:pos="8306" w:leader="none"/>
              </w:tabs>
              <w:spacing w:lineRule="auto" w:line="240"/>
              <w:ind w:hanging="0"/>
              <w:rPr/>
            </w:pPr>
            <w:r>
              <w:rPr>
                <w:szCs w:val="24"/>
              </w:rPr>
              <w:t>Фирсова</w:t>
            </w:r>
          </w:p>
          <w:p>
            <w:pPr>
              <w:pStyle w:val="12"/>
              <w:tabs>
                <w:tab w:val="center" w:pos="4153" w:leader="none"/>
                <w:tab w:val="right" w:pos="8306" w:leader="none"/>
              </w:tabs>
              <w:spacing w:lineRule="auto" w:line="240"/>
              <w:ind w:hanging="0"/>
              <w:rPr/>
            </w:pPr>
            <w:r>
              <w:rPr>
                <w:szCs w:val="24"/>
              </w:rPr>
              <w:t>Татьяна Сергеевна</w:t>
            </w:r>
          </w:p>
        </w:tc>
        <w:tc>
          <w:tcPr>
            <w:tcW w:w="341" w:type="dxa"/>
            <w:tcBorders/>
            <w:shd w:color="auto" w:fill="auto" w:val="clear"/>
          </w:tcPr>
          <w:p>
            <w:pPr>
              <w:pStyle w:val="12"/>
              <w:tabs>
                <w:tab w:val="center" w:pos="4153" w:leader="none"/>
                <w:tab w:val="right" w:pos="8306" w:leader="none"/>
              </w:tabs>
              <w:spacing w:lineRule="auto" w:line="240"/>
              <w:ind w:hanging="0"/>
              <w:rPr/>
            </w:pPr>
            <w:r>
              <w:rPr>
                <w:szCs w:val="24"/>
              </w:rPr>
              <w:t>–</w:t>
            </w:r>
          </w:p>
        </w:tc>
        <w:tc>
          <w:tcPr>
            <w:tcW w:w="6424" w:type="dxa"/>
            <w:tcBorders/>
            <w:shd w:color="auto" w:fill="auto" w:val="clear"/>
          </w:tcPr>
          <w:p>
            <w:pPr>
              <w:pStyle w:val="12"/>
              <w:tabs>
                <w:tab w:val="center" w:pos="4153" w:leader="none"/>
                <w:tab w:val="right" w:pos="8306" w:leader="none"/>
              </w:tabs>
              <w:spacing w:lineRule="auto" w:line="240"/>
              <w:ind w:hanging="0"/>
              <w:rPr/>
            </w:pPr>
            <w:r>
              <w:rPr>
                <w:szCs w:val="24"/>
              </w:rPr>
              <w:t>начальник отдела административно-организационной и правовой работы</w:t>
            </w:r>
            <w:r>
              <w:rPr>
                <w:b/>
                <w:bCs/>
                <w:szCs w:val="24"/>
              </w:rPr>
              <w:t xml:space="preserve"> </w:t>
            </w:r>
            <w:r>
              <w:rPr>
                <w:szCs w:val="24"/>
              </w:rPr>
              <w:t>Департамента социальной политики Чукотского автономного округа;</w:t>
            </w:r>
          </w:p>
        </w:tc>
      </w:tr>
      <w:tr>
        <w:trPr/>
        <w:tc>
          <w:tcPr>
            <w:tcW w:w="2980" w:type="dxa"/>
            <w:tcBorders/>
            <w:shd w:color="auto" w:fill="auto" w:val="clear"/>
          </w:tcPr>
          <w:p>
            <w:pPr>
              <w:pStyle w:val="12"/>
              <w:tabs>
                <w:tab w:val="center" w:pos="4153" w:leader="none"/>
                <w:tab w:val="right" w:pos="8306" w:leader="none"/>
              </w:tabs>
              <w:spacing w:lineRule="auto" w:line="240"/>
              <w:ind w:hanging="0"/>
              <w:rPr/>
            </w:pPr>
            <w:r>
              <w:rPr>
                <w:szCs w:val="24"/>
              </w:rPr>
              <w:t>Павлюкевич</w:t>
            </w:r>
          </w:p>
          <w:p>
            <w:pPr>
              <w:pStyle w:val="12"/>
              <w:tabs>
                <w:tab w:val="center" w:pos="4153" w:leader="none"/>
                <w:tab w:val="right" w:pos="8306" w:leader="none"/>
              </w:tabs>
              <w:spacing w:lineRule="auto" w:line="240"/>
              <w:ind w:hanging="0"/>
              <w:rPr/>
            </w:pPr>
            <w:r>
              <w:rPr>
                <w:szCs w:val="24"/>
              </w:rPr>
              <w:t>Елена Михайловна</w:t>
            </w:r>
          </w:p>
        </w:tc>
        <w:tc>
          <w:tcPr>
            <w:tcW w:w="341" w:type="dxa"/>
            <w:tcBorders/>
            <w:shd w:color="auto" w:fill="auto" w:val="clear"/>
          </w:tcPr>
          <w:p>
            <w:pPr>
              <w:pStyle w:val="12"/>
              <w:tabs>
                <w:tab w:val="center" w:pos="4153" w:leader="none"/>
                <w:tab w:val="right" w:pos="8306" w:leader="none"/>
              </w:tabs>
              <w:spacing w:lineRule="auto" w:line="240"/>
              <w:ind w:hanging="0"/>
              <w:rPr/>
            </w:pPr>
            <w:r>
              <w:rPr>
                <w:szCs w:val="24"/>
              </w:rPr>
              <w:t>–</w:t>
            </w:r>
          </w:p>
        </w:tc>
        <w:tc>
          <w:tcPr>
            <w:tcW w:w="6424" w:type="dxa"/>
            <w:tcBorders/>
            <w:shd w:color="auto" w:fill="auto" w:val="clear"/>
          </w:tcPr>
          <w:p>
            <w:pPr>
              <w:pStyle w:val="12"/>
              <w:tabs>
                <w:tab w:val="center" w:pos="4153" w:leader="none"/>
                <w:tab w:val="right" w:pos="8306" w:leader="none"/>
              </w:tabs>
              <w:spacing w:lineRule="auto" w:line="240"/>
              <w:ind w:hanging="0"/>
              <w:rPr/>
            </w:pPr>
            <w:r>
              <w:rPr>
                <w:szCs w:val="24"/>
              </w:rPr>
              <w:t>заместитель руководителя Аппарата Губернатора и Правительства Чукотского автономного округа, начальник Управления по профилактике коррупционных и иных правонарушений Аппарата Губернатора и Правительства Чукотского автономного округа;</w:t>
            </w:r>
          </w:p>
        </w:tc>
      </w:tr>
      <w:tr>
        <w:trPr/>
        <w:tc>
          <w:tcPr>
            <w:tcW w:w="2980" w:type="dxa"/>
            <w:tcBorders/>
            <w:shd w:color="auto" w:fill="auto" w:val="clear"/>
          </w:tcPr>
          <w:p>
            <w:pPr>
              <w:pStyle w:val="Normal"/>
              <w:rPr/>
            </w:pPr>
            <w:r>
              <w:rPr>
                <w:color w:val="00000A"/>
              </w:rPr>
              <w:t xml:space="preserve">Зиберт </w:t>
            </w:r>
          </w:p>
          <w:p>
            <w:pPr>
              <w:pStyle w:val="Normal"/>
              <w:rPr/>
            </w:pPr>
            <w:r>
              <w:rPr>
                <w:color w:val="00000A"/>
              </w:rPr>
              <w:t>Екатерина Владимировна</w:t>
            </w:r>
          </w:p>
        </w:tc>
        <w:tc>
          <w:tcPr>
            <w:tcW w:w="341" w:type="dxa"/>
            <w:tcBorders/>
            <w:shd w:color="auto" w:fill="auto" w:val="clear"/>
          </w:tcPr>
          <w:p>
            <w:pPr>
              <w:pStyle w:val="12"/>
              <w:tabs>
                <w:tab w:val="center" w:pos="4153" w:leader="none"/>
                <w:tab w:val="right" w:pos="8306" w:leader="none"/>
              </w:tabs>
              <w:spacing w:lineRule="auto" w:line="240"/>
              <w:ind w:hanging="0"/>
              <w:rPr/>
            </w:pPr>
            <w:r>
              <w:rPr>
                <w:szCs w:val="24"/>
              </w:rPr>
              <w:t>–</w:t>
            </w:r>
          </w:p>
        </w:tc>
        <w:tc>
          <w:tcPr>
            <w:tcW w:w="6424" w:type="dxa"/>
            <w:tcBorders/>
            <w:shd w:color="auto" w:fill="auto" w:val="clear"/>
          </w:tcPr>
          <w:p>
            <w:pPr>
              <w:pStyle w:val="Normal"/>
              <w:jc w:val="both"/>
              <w:rPr/>
            </w:pPr>
            <w:r>
              <w:rPr>
                <w:color w:val="00000A"/>
              </w:rPr>
              <w:t>председатель Общественной палаты Чукотского автономного округа (по согласованию);</w:t>
            </w:r>
          </w:p>
        </w:tc>
      </w:tr>
      <w:tr>
        <w:trPr/>
        <w:tc>
          <w:tcPr>
            <w:tcW w:w="2980" w:type="dxa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  <w:t>Талызин</w:t>
            </w:r>
          </w:p>
          <w:p>
            <w:pPr>
              <w:pStyle w:val="Normal"/>
              <w:rPr/>
            </w:pPr>
            <w:r>
              <w:rPr/>
              <w:t>Олег Георгиевич</w:t>
            </w:r>
          </w:p>
        </w:tc>
        <w:tc>
          <w:tcPr>
            <w:tcW w:w="341" w:type="dxa"/>
            <w:tcBorders/>
            <w:shd w:color="auto" w:fill="auto" w:val="clear"/>
          </w:tcPr>
          <w:p>
            <w:pPr>
              <w:pStyle w:val="12"/>
              <w:tabs>
                <w:tab w:val="center" w:pos="4153" w:leader="none"/>
                <w:tab w:val="right" w:pos="8306" w:leader="none"/>
              </w:tabs>
              <w:spacing w:lineRule="auto" w:line="240"/>
              <w:ind w:hanging="0"/>
              <w:rPr/>
            </w:pPr>
            <w:r>
              <w:rPr>
                <w:szCs w:val="24"/>
              </w:rPr>
              <w:t>–</w:t>
            </w:r>
          </w:p>
        </w:tc>
        <w:tc>
          <w:tcPr>
            <w:tcW w:w="6424" w:type="dxa"/>
            <w:tcBorders/>
            <w:shd w:color="auto" w:fill="auto" w:val="clear"/>
          </w:tcPr>
          <w:p>
            <w:pPr>
              <w:pStyle w:val="Normal"/>
              <w:jc w:val="both"/>
              <w:rPr/>
            </w:pPr>
            <w:r>
              <w:rPr/>
              <w:t>юрисконсульт вспомогательного персонала Финансово-экономического сектора Государственного автономного образовательного учреждения среднего профессионального образования Чукотского автономного округа «Чукотский многопрофильный колледж» (по согласованию)</w:t>
            </w:r>
          </w:p>
        </w:tc>
      </w:tr>
    </w:tbl>
    <w:p>
      <w:pPr>
        <w:pStyle w:val="12"/>
        <w:numPr>
          <w:ilvl w:val="0"/>
          <w:numId w:val="0"/>
        </w:numPr>
        <w:spacing w:lineRule="auto" w:line="240" w:before="0" w:after="120"/>
        <w:ind w:firstLine="520"/>
        <w:outlineLvl w:val="2"/>
        <w:rPr/>
      </w:pPr>
      <w:r>
        <w:rPr/>
      </w:r>
    </w:p>
    <w:sectPr>
      <w:headerReference w:type="default" r:id="rId4"/>
      <w:footerReference w:type="default" r:id="rId5"/>
      <w:type w:val="nextPage"/>
      <w:pgSz w:w="11906" w:h="16838"/>
      <w:pgMar w:left="1418" w:right="709" w:header="709" w:top="766" w:footer="709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  <w:font w:name="Courier New">
    <w:charset w:val="cc"/>
    <w:family w:val="roman"/>
    <w:pitch w:val="variable"/>
  </w:font>
  <w:font w:name="Verdana">
    <w:charset w:val="cc"/>
    <w:family w:val="roman"/>
    <w:pitch w:val="variable"/>
  </w:font>
  <w:font w:name="Calibri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7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9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embedSystemFonts/>
  <w:defaultTabStop w:val="567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4d5b9c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link w:val="10"/>
    <w:qFormat/>
    <w:rsid w:val="004d5b9c"/>
    <w:pPr>
      <w:keepNext/>
      <w:jc w:val="center"/>
      <w:outlineLvl w:val="0"/>
    </w:pPr>
    <w:rPr>
      <w:b/>
      <w:sz w:val="28"/>
      <w:szCs w:val="20"/>
      <w:lang w:val="x-none" w:eastAsia="x-none"/>
    </w:rPr>
  </w:style>
  <w:style w:type="paragraph" w:styleId="2">
    <w:name w:val="Heading 2"/>
    <w:basedOn w:val="Normal"/>
    <w:link w:val="20"/>
    <w:qFormat/>
    <w:rsid w:val="008613d5"/>
    <w:pPr>
      <w:keepNext/>
      <w:outlineLvl w:val="1"/>
    </w:pPr>
    <w:rPr>
      <w:sz w:val="28"/>
      <w:szCs w:val="20"/>
      <w:lang w:val="x-none" w:eastAsia="x-none"/>
    </w:rPr>
  </w:style>
  <w:style w:type="paragraph" w:styleId="3">
    <w:name w:val="Heading 3"/>
    <w:basedOn w:val="Normal"/>
    <w:qFormat/>
    <w:rsid w:val="004862a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Normal"/>
    <w:qFormat/>
    <w:rsid w:val="004862a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Normal"/>
    <w:link w:val="70"/>
    <w:qFormat/>
    <w:rsid w:val="008613d5"/>
    <w:pPr>
      <w:spacing w:before="240" w:after="60"/>
      <w:outlineLvl w:val="6"/>
    </w:pPr>
    <w:rPr>
      <w:lang w:val="x-none" w:eastAsia="x-none"/>
    </w:rPr>
  </w:style>
  <w:style w:type="paragraph" w:styleId="8">
    <w:name w:val="Heading 8"/>
    <w:basedOn w:val="Normal"/>
    <w:link w:val="80"/>
    <w:qFormat/>
    <w:rsid w:val="008613d5"/>
    <w:pPr>
      <w:keepNext/>
      <w:outlineLvl w:val="7"/>
    </w:pPr>
    <w:rPr>
      <w:sz w:val="26"/>
      <w:szCs w:val="20"/>
      <w:lang w:val="x-none" w:eastAsia="x-none"/>
    </w:rPr>
  </w:style>
  <w:style w:type="paragraph" w:styleId="9">
    <w:name w:val="Heading 9"/>
    <w:basedOn w:val="Normal"/>
    <w:link w:val="90"/>
    <w:qFormat/>
    <w:rsid w:val="008613d5"/>
    <w:pPr>
      <w:keepNext/>
      <w:jc w:val="right"/>
      <w:outlineLvl w:val="8"/>
    </w:pPr>
    <w:rPr>
      <w:sz w:val="26"/>
      <w:lang w:val="x-none" w:eastAsia="x-non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7" w:customStyle="1">
    <w:name w:val="Интернет-ссылка"/>
    <w:rsid w:val="004862ab"/>
    <w:rPr>
      <w:color w:val="0000FF"/>
      <w:u w:val="single"/>
    </w:rPr>
  </w:style>
  <w:style w:type="character" w:styleId="Style8" w:customStyle="1">
    <w:name w:val="Гипертекстовая ссылка"/>
    <w:uiPriority w:val="99"/>
    <w:qFormat/>
    <w:rsid w:val="00b07209"/>
    <w:rPr>
      <w:color w:val="008000"/>
    </w:rPr>
  </w:style>
  <w:style w:type="character" w:styleId="Style9" w:customStyle="1">
    <w:name w:val="Цветовое выделение"/>
    <w:uiPriority w:val="99"/>
    <w:qFormat/>
    <w:rsid w:val="00201a2c"/>
    <w:rPr>
      <w:b/>
      <w:bCs/>
      <w:color w:val="000080"/>
    </w:rPr>
  </w:style>
  <w:style w:type="character" w:styleId="Style10" w:customStyle="1">
    <w:name w:val="Текст выноски Знак"/>
    <w:qFormat/>
    <w:rsid w:val="00080904"/>
    <w:rPr>
      <w:rFonts w:ascii="Tahoma" w:hAnsi="Tahoma" w:cs="Tahoma"/>
      <w:sz w:val="16"/>
      <w:szCs w:val="16"/>
    </w:rPr>
  </w:style>
  <w:style w:type="character" w:styleId="Style11" w:customStyle="1">
    <w:name w:val="Не вступил в силу"/>
    <w:qFormat/>
    <w:rsid w:val="00ae51ee"/>
    <w:rPr>
      <w:color w:val="008080"/>
    </w:rPr>
  </w:style>
  <w:style w:type="character" w:styleId="11" w:customStyle="1">
    <w:name w:val="Заголовок 1 Знак"/>
    <w:link w:val="1"/>
    <w:qFormat/>
    <w:rsid w:val="00181964"/>
    <w:rPr>
      <w:b/>
      <w:sz w:val="28"/>
    </w:rPr>
  </w:style>
  <w:style w:type="character" w:styleId="FontStyle40" w:customStyle="1">
    <w:name w:val="Font Style40"/>
    <w:qFormat/>
    <w:rsid w:val="00d5689d"/>
    <w:rPr>
      <w:rFonts w:ascii="Times New Roman" w:hAnsi="Times New Roman" w:cs="Times New Roman"/>
      <w:sz w:val="22"/>
      <w:szCs w:val="22"/>
    </w:rPr>
  </w:style>
  <w:style w:type="character" w:styleId="21" w:customStyle="1">
    <w:name w:val="Заголовок 2 Знак"/>
    <w:link w:val="2"/>
    <w:qFormat/>
    <w:rsid w:val="008613d5"/>
    <w:rPr>
      <w:sz w:val="28"/>
    </w:rPr>
  </w:style>
  <w:style w:type="character" w:styleId="71" w:customStyle="1">
    <w:name w:val="Заголовок 7 Знак"/>
    <w:link w:val="7"/>
    <w:qFormat/>
    <w:rsid w:val="008613d5"/>
    <w:rPr>
      <w:sz w:val="24"/>
      <w:szCs w:val="24"/>
    </w:rPr>
  </w:style>
  <w:style w:type="character" w:styleId="81" w:customStyle="1">
    <w:name w:val="Заголовок 8 Знак"/>
    <w:link w:val="8"/>
    <w:qFormat/>
    <w:rsid w:val="008613d5"/>
    <w:rPr>
      <w:sz w:val="26"/>
    </w:rPr>
  </w:style>
  <w:style w:type="character" w:styleId="91" w:customStyle="1">
    <w:name w:val="Заголовок 9 Знак"/>
    <w:link w:val="9"/>
    <w:qFormat/>
    <w:rsid w:val="008613d5"/>
    <w:rPr>
      <w:sz w:val="26"/>
      <w:szCs w:val="24"/>
    </w:rPr>
  </w:style>
  <w:style w:type="character" w:styleId="Pagenumber">
    <w:name w:val="page number"/>
    <w:basedOn w:val="DefaultParagraphFont"/>
    <w:qFormat/>
    <w:rsid w:val="008613d5"/>
    <w:rPr/>
  </w:style>
  <w:style w:type="character" w:styleId="Style12" w:customStyle="1">
    <w:name w:val="Нижний колонтитул Знак"/>
    <w:qFormat/>
    <w:rsid w:val="008613d5"/>
    <w:rPr>
      <w:sz w:val="24"/>
      <w:szCs w:val="24"/>
    </w:rPr>
  </w:style>
  <w:style w:type="character" w:styleId="31" w:customStyle="1">
    <w:name w:val="Основной текст с отступом 3 Знак"/>
    <w:link w:val="31"/>
    <w:qFormat/>
    <w:rsid w:val="008613d5"/>
    <w:rPr>
      <w:sz w:val="16"/>
      <w:szCs w:val="16"/>
    </w:rPr>
  </w:style>
  <w:style w:type="character" w:styleId="Style13" w:customStyle="1">
    <w:name w:val="Текст примечания Знак"/>
    <w:basedOn w:val="DefaultParagraphFont"/>
    <w:qFormat/>
    <w:rsid w:val="008613d5"/>
    <w:rPr/>
  </w:style>
  <w:style w:type="character" w:styleId="32" w:customStyle="1">
    <w:name w:val="Основной текст 3 Знак"/>
    <w:link w:val="32"/>
    <w:qFormat/>
    <w:rsid w:val="00470a11"/>
    <w:rPr>
      <w:sz w:val="16"/>
      <w:szCs w:val="16"/>
    </w:rPr>
  </w:style>
  <w:style w:type="character" w:styleId="ListLabel1" w:customStyle="1">
    <w:name w:val="ListLabel 1"/>
    <w:qFormat/>
    <w:rPr>
      <w:rFonts w:eastAsia="Times New Roman" w:cs="Times New Roman"/>
    </w:rPr>
  </w:style>
  <w:style w:type="character" w:styleId="ListLabel2" w:customStyle="1">
    <w:name w:val="ListLabel 2"/>
    <w:qFormat/>
    <w:rPr>
      <w:rFonts w:eastAsia="Times New Roman" w:cs="Times New Roman"/>
    </w:rPr>
  </w:style>
  <w:style w:type="character" w:styleId="ListLabel3" w:customStyle="1">
    <w:name w:val="ListLabel 3"/>
    <w:qFormat/>
    <w:rPr>
      <w:rFonts w:cs="Courier New"/>
    </w:rPr>
  </w:style>
  <w:style w:type="character" w:styleId="ListLabel4" w:customStyle="1">
    <w:name w:val="ListLabel 4"/>
    <w:qFormat/>
    <w:rPr>
      <w:rFonts w:cs="Courier New"/>
    </w:rPr>
  </w:style>
  <w:style w:type="character" w:styleId="ListLabel5" w:customStyle="1">
    <w:name w:val="ListLabel 5"/>
    <w:qFormat/>
    <w:rPr>
      <w:rFonts w:cs="Courier New"/>
    </w:rPr>
  </w:style>
  <w:style w:type="character" w:styleId="ListLabel6" w:customStyle="1">
    <w:name w:val="ListLabel 6"/>
    <w:qFormat/>
    <w:rPr>
      <w:rFonts w:cs="Courier New"/>
    </w:rPr>
  </w:style>
  <w:style w:type="character" w:styleId="ListLabel7" w:customStyle="1">
    <w:name w:val="ListLabel 7"/>
    <w:qFormat/>
    <w:rPr>
      <w:rFonts w:cs="Courier New"/>
    </w:rPr>
  </w:style>
  <w:style w:type="character" w:styleId="ListLabel8" w:customStyle="1">
    <w:name w:val="ListLabel 8"/>
    <w:qFormat/>
    <w:rPr>
      <w:rFonts w:cs="Courier New"/>
    </w:rPr>
  </w:style>
  <w:style w:type="character" w:styleId="ListLabel9" w:customStyle="1">
    <w:name w:val="ListLabel 9"/>
    <w:qFormat/>
    <w:rPr>
      <w:rFonts w:eastAsia="Times New Roman" w:cs="Times New Roman"/>
      <w:b w:val="false"/>
      <w:i w:val="false"/>
      <w:strike w:val="false"/>
      <w:dstrike w:val="false"/>
      <w:color w:val="000080"/>
      <w:spacing w:val="0"/>
      <w:w w:val="100"/>
      <w:kern w:val="0"/>
      <w:sz w:val="22"/>
      <w:szCs w:val="22"/>
      <w:u w:val="none"/>
    </w:rPr>
  </w:style>
  <w:style w:type="character" w:styleId="ListLabel10" w:customStyle="1">
    <w:name w:val="ListLabel 10"/>
    <w:qFormat/>
    <w:rPr>
      <w:b w:val="false"/>
      <w:i w:val="false"/>
      <w:caps w:val="false"/>
      <w:smallCaps w:val="false"/>
      <w:strike w:val="false"/>
      <w:dstrike w:val="false"/>
      <w:vanish w:val="false"/>
      <w:color w:val="000080"/>
      <w:spacing w:val="0"/>
      <w:w w:val="100"/>
      <w:kern w:val="0"/>
      <w:position w:val="0"/>
      <w:sz w:val="22"/>
      <w:sz w:val="22"/>
      <w:szCs w:val="22"/>
      <w:u w:val="none"/>
      <w:effect w:val="none"/>
      <w:vertAlign w:val="baseline"/>
    </w:rPr>
  </w:style>
  <w:style w:type="character" w:styleId="ListLabel11" w:customStyle="1">
    <w:name w:val="ListLabel 11"/>
    <w:qFormat/>
    <w:rPr>
      <w:rFonts w:eastAsia="Times New Roman" w:cs="Times New Roman"/>
    </w:rPr>
  </w:style>
  <w:style w:type="character" w:styleId="ListLabel12" w:customStyle="1">
    <w:name w:val="ListLabel 12"/>
    <w:qFormat/>
    <w:rPr>
      <w:rFonts w:eastAsia="Times New Roman" w:cs="Times New Roman"/>
    </w:rPr>
  </w:style>
  <w:style w:type="paragraph" w:styleId="Style14" w:customStyle="1">
    <w:name w:val="Заголовок"/>
    <w:basedOn w:val="Normal"/>
    <w:next w:val="Style15"/>
    <w:qFormat/>
    <w:rsid w:val="004862ab"/>
    <w:pPr/>
    <w:rPr>
      <w:rFonts w:ascii="Arial" w:hAnsi="Arial" w:cs="Arial"/>
      <w:b/>
      <w:bCs/>
      <w:sz w:val="22"/>
      <w:szCs w:val="22"/>
    </w:rPr>
  </w:style>
  <w:style w:type="paragraph" w:styleId="Style15">
    <w:name w:val="Body Text"/>
    <w:basedOn w:val="Normal"/>
    <w:rsid w:val="004862ab"/>
    <w:pPr>
      <w:spacing w:before="0" w:after="12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Caption">
    <w:name w:val="caption"/>
    <w:basedOn w:val="Normal"/>
    <w:qFormat/>
    <w:rsid w:val="008613d5"/>
    <w:pPr>
      <w:jc w:val="center"/>
    </w:pPr>
    <w:rPr>
      <w:b/>
      <w:sz w:val="28"/>
      <w:szCs w:val="20"/>
    </w:rPr>
  </w:style>
  <w:style w:type="paragraph" w:styleId="Indexheading">
    <w:name w:val="index heading"/>
    <w:basedOn w:val="Normal"/>
    <w:qFormat/>
    <w:pPr>
      <w:suppressLineNumbers/>
    </w:pPr>
    <w:rPr>
      <w:rFonts w:cs="Mangal"/>
    </w:rPr>
  </w:style>
  <w:style w:type="paragraph" w:styleId="Style19">
    <w:name w:val="Header"/>
    <w:basedOn w:val="Normal"/>
    <w:rsid w:val="004d5b9c"/>
    <w:pPr>
      <w:tabs>
        <w:tab w:val="center" w:pos="4153" w:leader="none"/>
        <w:tab w:val="right" w:pos="8306" w:leader="none"/>
      </w:tabs>
    </w:pPr>
    <w:rPr>
      <w:sz w:val="20"/>
      <w:szCs w:val="20"/>
    </w:rPr>
  </w:style>
  <w:style w:type="paragraph" w:styleId="Style20">
    <w:name w:val="Body Text Indent"/>
    <w:basedOn w:val="Normal"/>
    <w:rsid w:val="004d5b9c"/>
    <w:pPr>
      <w:spacing w:lineRule="auto" w:line="360"/>
      <w:ind w:firstLine="630"/>
      <w:jc w:val="both"/>
      <w:outlineLvl w:val="2"/>
    </w:pPr>
    <w:rPr>
      <w:szCs w:val="22"/>
    </w:rPr>
  </w:style>
  <w:style w:type="paragraph" w:styleId="Style21">
    <w:name w:val="Title"/>
    <w:basedOn w:val="Normal"/>
    <w:qFormat/>
    <w:rsid w:val="004862ab"/>
    <w:pPr>
      <w:jc w:val="center"/>
    </w:pPr>
    <w:rPr>
      <w:sz w:val="28"/>
      <w:szCs w:val="20"/>
    </w:rPr>
  </w:style>
  <w:style w:type="paragraph" w:styleId="DocumentMap">
    <w:name w:val="Document Map"/>
    <w:basedOn w:val="Normal"/>
    <w:semiHidden/>
    <w:qFormat/>
    <w:rsid w:val="00bb5865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ConsPlusTitle" w:customStyle="1">
    <w:name w:val="ConsPlusTitle"/>
    <w:qFormat/>
    <w:rsid w:val="00b81b3c"/>
    <w:pPr>
      <w:widowControl w:val="false"/>
      <w:bidi w:val="0"/>
      <w:jc w:val="left"/>
    </w:pPr>
    <w:rPr>
      <w:rFonts w:ascii="Times New Roman" w:hAnsi="Times New Roman" w:eastAsia="Times New Roman" w:cs="Times New Roman"/>
      <w:b/>
      <w:bCs/>
      <w:color w:val="auto"/>
      <w:kern w:val="0"/>
      <w:sz w:val="24"/>
      <w:szCs w:val="24"/>
      <w:lang w:val="ru-RU" w:eastAsia="ru-RU" w:bidi="ar-SA"/>
    </w:rPr>
  </w:style>
  <w:style w:type="paragraph" w:styleId="Style22" w:customStyle="1">
    <w:name w:val="Нормальный (таблица)"/>
    <w:basedOn w:val="Normal"/>
    <w:uiPriority w:val="99"/>
    <w:qFormat/>
    <w:rsid w:val="00201a2c"/>
    <w:pPr>
      <w:jc w:val="both"/>
    </w:pPr>
    <w:rPr>
      <w:rFonts w:ascii="Arial" w:hAnsi="Arial"/>
    </w:rPr>
  </w:style>
  <w:style w:type="paragraph" w:styleId="Style23" w:customStyle="1">
    <w:name w:val="Прижатый влево"/>
    <w:basedOn w:val="Normal"/>
    <w:uiPriority w:val="99"/>
    <w:qFormat/>
    <w:rsid w:val="00201a2c"/>
    <w:pPr/>
    <w:rPr>
      <w:rFonts w:ascii="Arial" w:hAnsi="Arial"/>
    </w:rPr>
  </w:style>
  <w:style w:type="paragraph" w:styleId="ConsPlusNonformat" w:customStyle="1">
    <w:name w:val="ConsPlusNonformat"/>
    <w:qFormat/>
    <w:rsid w:val="00fc3a33"/>
    <w:pPr>
      <w:widowControl w:val="false"/>
      <w:bidi w:val="0"/>
      <w:jc w:val="left"/>
    </w:pPr>
    <w:rPr>
      <w:rFonts w:ascii="Courier New" w:hAnsi="Courier New" w:cs="Courier New" w:eastAsia="Times New Roman"/>
      <w:color w:val="auto"/>
      <w:kern w:val="0"/>
      <w:sz w:val="24"/>
      <w:szCs w:val="20"/>
      <w:lang w:val="ru-RU" w:eastAsia="ru-RU" w:bidi="ar-SA"/>
    </w:rPr>
  </w:style>
  <w:style w:type="paragraph" w:styleId="ConsPlusCell" w:customStyle="1">
    <w:name w:val="ConsPlusCell"/>
    <w:qFormat/>
    <w:rsid w:val="00fc3a33"/>
    <w:pPr>
      <w:widowControl w:val="false"/>
      <w:bidi w:val="0"/>
      <w:jc w:val="left"/>
    </w:pPr>
    <w:rPr>
      <w:rFonts w:ascii="Arial" w:hAnsi="Arial" w:cs="Arial" w:eastAsia="Times New Roman"/>
      <w:color w:val="auto"/>
      <w:kern w:val="0"/>
      <w:sz w:val="24"/>
      <w:szCs w:val="20"/>
      <w:lang w:val="ru-RU" w:eastAsia="ru-RU" w:bidi="ar-SA"/>
    </w:rPr>
  </w:style>
  <w:style w:type="paragraph" w:styleId="Style24" w:customStyle="1">
    <w:name w:val="Знак"/>
    <w:basedOn w:val="Normal"/>
    <w:qFormat/>
    <w:rsid w:val="00080904"/>
    <w:pPr>
      <w:spacing w:lineRule="exact" w:line="240" w:before="0" w:after="160"/>
    </w:pPr>
    <w:rPr>
      <w:rFonts w:ascii="Verdana" w:hAnsi="Verdana"/>
      <w:sz w:val="20"/>
      <w:szCs w:val="20"/>
      <w:lang w:val="en-US" w:eastAsia="en-US"/>
    </w:rPr>
  </w:style>
  <w:style w:type="paragraph" w:styleId="BalloonText">
    <w:name w:val="Balloon Text"/>
    <w:basedOn w:val="Normal"/>
    <w:qFormat/>
    <w:rsid w:val="00080904"/>
    <w:pPr/>
    <w:rPr>
      <w:rFonts w:ascii="Tahoma" w:hAnsi="Tahoma"/>
      <w:sz w:val="16"/>
      <w:szCs w:val="16"/>
      <w:lang w:val="x-none" w:eastAsia="x-none"/>
    </w:rPr>
  </w:style>
  <w:style w:type="paragraph" w:styleId="Style25" w:customStyle="1">
    <w:name w:val="Таблицы (моноширинный)"/>
    <w:basedOn w:val="Normal"/>
    <w:uiPriority w:val="99"/>
    <w:qFormat/>
    <w:rsid w:val="00b56dc5"/>
    <w:pPr>
      <w:widowControl w:val="false"/>
      <w:jc w:val="both"/>
    </w:pPr>
    <w:rPr>
      <w:rFonts w:ascii="Courier New" w:hAnsi="Courier New" w:cs="Courier New"/>
    </w:rPr>
  </w:style>
  <w:style w:type="paragraph" w:styleId="ListParagraph">
    <w:name w:val="List Paragraph"/>
    <w:basedOn w:val="Normal"/>
    <w:uiPriority w:val="34"/>
    <w:qFormat/>
    <w:rsid w:val="00c74654"/>
    <w:pPr>
      <w:spacing w:lineRule="auto" w:line="276" w:before="0" w:after="200"/>
      <w:ind w:left="720" w:hanging="0"/>
      <w:contextualSpacing/>
    </w:pPr>
    <w:rPr>
      <w:rFonts w:ascii="Calibri" w:hAnsi="Calibri" w:eastAsia="Calibri"/>
      <w:sz w:val="22"/>
      <w:szCs w:val="22"/>
      <w:lang w:eastAsia="en-US"/>
    </w:rPr>
  </w:style>
  <w:style w:type="paragraph" w:styleId="ConsPlusNormal" w:customStyle="1">
    <w:name w:val="ConsPlusNormal"/>
    <w:qFormat/>
    <w:rsid w:val="00d5689d"/>
    <w:pPr>
      <w:widowControl w:val="false"/>
      <w:bidi w:val="0"/>
      <w:ind w:firstLine="720"/>
      <w:jc w:val="left"/>
    </w:pPr>
    <w:rPr>
      <w:rFonts w:ascii="Arial" w:hAnsi="Arial" w:cs="Arial" w:eastAsia="Times New Roman"/>
      <w:color w:val="auto"/>
      <w:kern w:val="0"/>
      <w:sz w:val="24"/>
      <w:szCs w:val="20"/>
      <w:lang w:val="ru-RU" w:eastAsia="ru-RU" w:bidi="ar-SA"/>
    </w:rPr>
  </w:style>
  <w:style w:type="paragraph" w:styleId="Style26" w:customStyle="1">
    <w:name w:val="Комментарий"/>
    <w:basedOn w:val="Normal"/>
    <w:uiPriority w:val="99"/>
    <w:qFormat/>
    <w:rsid w:val="001b7724"/>
    <w:pPr>
      <w:ind w:left="170" w:hanging="0"/>
      <w:jc w:val="both"/>
    </w:pPr>
    <w:rPr>
      <w:rFonts w:ascii="Arial" w:hAnsi="Arial" w:cs="Arial"/>
      <w:i/>
      <w:iCs/>
      <w:color w:val="800080"/>
    </w:rPr>
  </w:style>
  <w:style w:type="paragraph" w:styleId="Style27">
    <w:name w:val="Footer"/>
    <w:basedOn w:val="Normal"/>
    <w:rsid w:val="008613d5"/>
    <w:pPr>
      <w:tabs>
        <w:tab w:val="center" w:pos="4677" w:leader="none"/>
        <w:tab w:val="right" w:pos="9355" w:leader="none"/>
      </w:tabs>
    </w:pPr>
    <w:rPr>
      <w:lang w:val="x-none" w:eastAsia="x-none"/>
    </w:rPr>
  </w:style>
  <w:style w:type="paragraph" w:styleId="BodyTextIndent3">
    <w:name w:val="Body Text Indent 3"/>
    <w:basedOn w:val="Normal"/>
    <w:link w:val="30"/>
    <w:qFormat/>
    <w:rsid w:val="008613d5"/>
    <w:pPr>
      <w:spacing w:before="0" w:after="120"/>
      <w:ind w:left="283" w:hanging="0"/>
    </w:pPr>
    <w:rPr>
      <w:sz w:val="16"/>
      <w:szCs w:val="16"/>
      <w:lang w:val="x-none" w:eastAsia="x-none"/>
    </w:rPr>
  </w:style>
  <w:style w:type="paragraph" w:styleId="12" w:customStyle="1">
    <w:name w:val="Обычный1"/>
    <w:qFormat/>
    <w:rsid w:val="008613d5"/>
    <w:pPr>
      <w:widowControl w:val="false"/>
      <w:bidi w:val="0"/>
      <w:spacing w:lineRule="auto" w:line="300"/>
      <w:ind w:firstLine="520"/>
      <w:jc w:val="both"/>
    </w:pPr>
    <w:rPr>
      <w:rFonts w:ascii="Times New Roman" w:hAnsi="Times New Roman" w:eastAsia="Times New Roman" w:cs="Times New Roman"/>
      <w:color w:val="auto"/>
      <w:kern w:val="0"/>
      <w:sz w:val="24"/>
      <w:szCs w:val="20"/>
      <w:lang w:val="ru-RU" w:eastAsia="ru-RU" w:bidi="ar-SA"/>
    </w:rPr>
  </w:style>
  <w:style w:type="paragraph" w:styleId="ConsNormal" w:customStyle="1">
    <w:name w:val="ConsNormal"/>
    <w:qFormat/>
    <w:rsid w:val="008613d5"/>
    <w:pPr>
      <w:widowControl w:val="false"/>
      <w:bidi w:val="0"/>
      <w:ind w:firstLine="72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0"/>
      <w:lang w:val="ru-RU" w:eastAsia="ru-RU" w:bidi="ar-SA"/>
    </w:rPr>
  </w:style>
  <w:style w:type="paragraph" w:styleId="Annotationtext">
    <w:name w:val="annotation text"/>
    <w:basedOn w:val="Normal"/>
    <w:qFormat/>
    <w:rsid w:val="008613d5"/>
    <w:pPr/>
    <w:rPr>
      <w:sz w:val="20"/>
      <w:szCs w:val="20"/>
    </w:rPr>
  </w:style>
  <w:style w:type="paragraph" w:styleId="BodyText3">
    <w:name w:val="Body Text 3"/>
    <w:basedOn w:val="Normal"/>
    <w:qFormat/>
    <w:rsid w:val="00470a11"/>
    <w:pPr>
      <w:spacing w:before="0" w:after="120"/>
    </w:pPr>
    <w:rPr>
      <w:sz w:val="16"/>
      <w:szCs w:val="16"/>
      <w:lang w:val="x-none" w:eastAsia="x-none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c">
    <w:name w:val="Table Grid"/>
    <w:basedOn w:val="a1"/>
    <w:rsid w:val="005970ba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2C712F-D1BB-4237-8325-C5744514B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Application>LibreOffice/5.4.0.3$Windows_x86 LibreOffice_project/7556cbc6811c9d992f4064ab9287069087d7f62c</Application>
  <Pages>2</Pages>
  <Words>397</Words>
  <Characters>3328</Characters>
  <CharactersWithSpaces>3686</CharactersWithSpaces>
  <Paragraphs>61</Paragraphs>
  <Company>Департамент социальной полттики ЧАО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2017-03-09T22:24:00Z</dcterms:created>
  <dc:creator>Усачев</dc:creator>
  <dc:description/>
  <dc:language>ru-RU</dc:language>
  <cp:lastModifiedBy/>
  <cp:lastPrinted>2015-10-26T23:56:00Z</cp:lastPrinted>
  <dcterms:modified xsi:type="dcterms:W3CDTF">2020-07-13T11:24:16Z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Департамент социальной полттики ЧАО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