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spacing w:after="12" w:line="270" w:lineRule="auto"/>
        <w:ind w:left="799" w:firstLine="446"/>
        <w:jc w:val="right"/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</w:pPr>
    </w:p>
    <w:p>
      <w:pPr>
        <w:spacing w:after="12" w:line="270" w:lineRule="auto"/>
        <w:ind w:left="799" w:firstLine="446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Уведомление о проведении общественных обсуждений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объектов государственной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экологической экспертизы – проектной документации</w:t>
      </w:r>
    </w:p>
    <w:p>
      <w:pPr>
        <w:spacing w:after="13" w:line="270" w:lineRule="auto"/>
        <w:ind w:left="52" w:right="189" w:hanging="10"/>
        <w:jc w:val="center"/>
        <w:rPr>
          <w:rFonts w:ascii="Times New Roman" w:cs="Times New Roman" w:hAnsi="Times New Roman"/>
          <w:sz w:val="28"/>
          <w:szCs w:val="28"/>
        </w:rPr>
      </w:pPr>
      <w:bookmarkStart w:id="0" w:name="_Hlk182233911"/>
      <w:bookmarkStart w:id="1" w:name="_Hlk182233477"/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Баимский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ГОК. Проект медного месторождения Песчанка. Склад взрывчатых материалов с размещением на его территории модульного пункта производства промышленных взрывчатых веществ (Склад ВМ с МПП ПВВ)»</w:t>
      </w:r>
      <w:bookmarkEnd w:id="0"/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, </w:t>
      </w:r>
      <w:bookmarkEnd w:id="1"/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>включая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предварительные материалы оценки воздействия на окружающую среду </w:t>
      </w:r>
    </w:p>
    <w:p>
      <w:pPr>
        <w:spacing w:after="1"/>
        <w:ind w:left="13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соответствии с Федеральным законом от 23.11.1995 № 174-ФЗ «Об экологической экспертизе», требованиями Приказа Минприроды России от 01.12.2020 № 999 «Об утверждении требований к материалам оценки воздействия на окружающую среду» ООО ГДК </w:t>
      </w:r>
      <w:r>
        <w:rPr>
          <w:rFonts w:ascii="Times New Roman" w:cs="Times New Roman" w:eastAsia="Times New Roman" w:hAnsi="Times New Roman"/>
          <w:sz w:val="28"/>
          <w:szCs w:val="28"/>
        </w:rPr>
        <w:t>Баимская</w:t>
      </w:r>
      <w:r>
        <w:rPr>
          <w:rFonts w:ascii="Times New Roman" w:cs="Times New Roman" w:eastAsia="Times New Roman" w:hAnsi="Times New Roman"/>
          <w:sz w:val="28"/>
          <w:szCs w:val="28"/>
        </w:rPr>
        <w:t>» совместно с Администрацией МО Билибинский муниципальный район уведомляют о начале процесса общественных обсуждений по объект</w:t>
      </w:r>
      <w:r>
        <w:rPr>
          <w:rFonts w:ascii="Times New Roman" w:cs="Times New Roman" w:eastAsia="Times New Roman" w:hAnsi="Times New Roman"/>
          <w:sz w:val="28"/>
          <w:szCs w:val="28"/>
        </w:rPr>
        <w:t>у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государственной экологической экспертизы – проектной документации </w:t>
      </w:r>
      <w:bookmarkStart w:id="2" w:name="_Hlk182235240"/>
      <w:r>
        <w:rPr>
          <w:rFonts w:ascii="Times New Roman" w:cs="Times New Roman" w:eastAsia="Times New Roman" w:hAnsi="Times New Roman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sz w:val="28"/>
          <w:szCs w:val="28"/>
        </w:rPr>
        <w:t>Баимский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ГОК. Проект медного месторождения Песчанка. Склад взрывчатых материалов с размещением на его территории модульного пункта производства промышленных взрывчатых веществ (Склад ВМ с МПП ПВВ)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», </w:t>
      </w:r>
      <w:bookmarkEnd w:id="2"/>
      <w:r>
        <w:rPr>
          <w:rFonts w:ascii="Times New Roman" w:cs="Times New Roman" w:eastAsia="Times New Roman" w:hAnsi="Times New Roman"/>
          <w:sz w:val="28"/>
          <w:szCs w:val="28"/>
        </w:rPr>
        <w:t xml:space="preserve">включая предварительные материалы оценки воздействия на окружающую среду (ОВОС). 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Наименование и адрес заказчика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Общество с ограниченной ответственностью «ГДК </w:t>
      </w:r>
      <w:r>
        <w:rPr>
          <w:rFonts w:ascii="Times New Roman" w:cs="Times New Roman" w:eastAsia="Times New Roman" w:hAnsi="Times New Roman"/>
          <w:sz w:val="28"/>
          <w:szCs w:val="28"/>
        </w:rPr>
        <w:t>Баимская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» (OOO «ГДК </w:t>
      </w:r>
      <w:r>
        <w:rPr>
          <w:rFonts w:ascii="Times New Roman" w:cs="Times New Roman" w:eastAsia="Times New Roman" w:hAnsi="Times New Roman"/>
          <w:sz w:val="28"/>
          <w:szCs w:val="28"/>
        </w:rPr>
        <w:t>Баимская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»), ОГРН 1087746085866, ИНН 7705825797, юридический адрес: 689000, Россия, Чукотский автономный округ, г. Анадырь, ул. Дежнёва, д.1, тел. +7 (495) 540-01-25 доб. 35453, 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Times New Roman" w:hAnsi="Times New Roman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>mail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lang w:val="en-US"/>
        </w:rPr>
        <w:t>anna</w:t>
      </w:r>
      <w:r>
        <w:rPr>
          <w:rFonts w:ascii="Times New Roman" w:cs="Times New Roman" w:eastAsia="Times New Roman" w:hAnsi="Times New Roman"/>
          <w:color w:val="0000ff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lang w:val="en-US"/>
        </w:rPr>
        <w:t>filippova</w:t>
      </w:r>
      <w:r>
        <w:rPr>
          <w:rFonts w:ascii="Times New Roman" w:cs="Times New Roman" w:eastAsia="Times New Roman" w:hAnsi="Times New Roman"/>
          <w:color w:val="0000ff"/>
          <w:sz w:val="28"/>
          <w:szCs w:val="28"/>
        </w:rPr>
        <w:t>@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lang w:val="en-US"/>
        </w:rPr>
        <w:t>baimskaya</w:t>
      </w:r>
      <w:r>
        <w:rPr>
          <w:rFonts w:ascii="Times New Roman" w:cs="Times New Roman" w:eastAsia="Times New Roman" w:hAnsi="Times New Roman"/>
          <w:color w:val="0000ff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lang w:val="en-US"/>
        </w:rPr>
        <w:t>com</w:t>
      </w:r>
      <w:r>
        <w:rPr>
          <w:rFonts w:ascii="Times New Roman" w:cs="Times New Roman" w:eastAsia="Times New Roman" w:hAnsi="Times New Roman"/>
          <w:color w:val="0000ff"/>
          <w:sz w:val="28"/>
          <w:szCs w:val="28"/>
        </w:rPr>
        <w:t>.</w:t>
      </w:r>
    </w:p>
    <w:p>
      <w:pPr>
        <w:spacing w:after="11" w:line="270" w:lineRule="auto"/>
        <w:ind w:left="124" w:firstLine="69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Наименование исполнителя работ по оценке воздействия на окружающую среду: </w:t>
      </w:r>
    </w:p>
    <w:p>
      <w:pPr>
        <w:spacing w:after="14" w:line="268" w:lineRule="auto"/>
        <w:ind w:left="134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id="3" w:name="_Hlk182240233"/>
      <w:r>
        <w:rPr>
          <w:rFonts w:ascii="Times New Roman" w:cs="Times New Roman" w:eastAsia="Times New Roman" w:hAnsi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cs="Times New Roman" w:eastAsia="Times New Roman" w:hAnsi="Times New Roman"/>
          <w:sz w:val="28"/>
          <w:szCs w:val="28"/>
        </w:rPr>
        <w:t>«Научно-Технический Центр-Геотехнология»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(ООО «НТЦ-Геотехнология»), ОГРН 1047421520035, ИНН 7447075866, адрес: 620050, г. Екатеринбург, ул. Техническая, дом 18Б, офис 412, тел. +7 (351) 220-22-00, </w:t>
      </w:r>
      <w:r>
        <w:rPr>
          <w:rFonts w:ascii="Times New Roman" w:cs="Times New Roman" w:eastAsia="Times New Roman" w:hAnsi="Times New Roman"/>
          <w:sz w:val="28"/>
          <w:szCs w:val="28"/>
        </w:rPr>
        <w:t>e-mail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info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@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  <w:lang w:val="en-US"/>
        </w:rPr>
        <w:t>ustup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.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ru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hAnsi="Times New Roman"/>
          <w:sz w:val="28"/>
          <w:szCs w:val="28"/>
        </w:rPr>
      </w:pPr>
      <w:bookmarkEnd w:id="3"/>
      <w:r>
        <w:rPr>
          <w:rFonts w:ascii="Times New Roman" w:cs="Times New Roman" w:eastAsia="Times New Roman" w:hAnsi="Times New Roman"/>
          <w:b/>
          <w:sz w:val="28"/>
          <w:szCs w:val="28"/>
        </w:rPr>
        <w:t>Орган местного самоуправления, ответственный за организацию общественных обс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уждений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cs="Times New Roman" w:eastAsia="Times New Roman" w:hAnsi="Times New Roman"/>
          <w:sz w:val="28"/>
          <w:szCs w:val="28"/>
        </w:rPr>
        <w:t>муниципального округа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Билибинского муниципального района Чукотского автономного округа, 689450, Чукотский автономный округ, г. Билибино, ул. Курчатова, 6, тел. +7 (427) 302-35-01, </w:t>
      </w:r>
      <w:r>
        <w:rPr>
          <w:rFonts w:ascii="Times New Roman" w:cs="Times New Roman" w:eastAsia="Times New Roman" w:hAnsi="Times New Roman"/>
          <w:sz w:val="28"/>
          <w:szCs w:val="28"/>
        </w:rPr>
        <w:t>e-mail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 w:color="0000ff"/>
        </w:rPr>
        <w:t>info@bilchao.ru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 </w:t>
      </w:r>
    </w:p>
    <w:p>
      <w:pPr>
        <w:spacing w:after="11" w:line="270" w:lineRule="auto"/>
        <w:ind w:left="124" w:firstLine="69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>
      <w:pPr>
        <w:spacing w:after="14" w:line="268" w:lineRule="auto"/>
        <w:ind w:left="134" w:hanging="10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</w:rPr>
        <w:t>Баимский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</w:rPr>
        <w:t xml:space="preserve"> ГОК. Проект медного месторождения Песчанка. Склад взрывчатых материалов с размещением на его территории модульного пункта производства промышленных взрывчатых веществ (Склад ВМ с МПП ПВВ)»</w:t>
      </w:r>
    </w:p>
    <w:p>
      <w:pPr>
        <w:spacing w:after="11" w:line="270" w:lineRule="auto"/>
        <w:ind w:left="847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Цель осуществления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планируемой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хозяйственной деятельности: </w:t>
      </w:r>
    </w:p>
    <w:p>
      <w:pPr>
        <w:spacing w:after="14" w:line="268" w:lineRule="auto"/>
        <w:ind w:left="134" w:hanging="1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id="4" w:name="_Hlk182235449"/>
      <w:r>
        <w:rPr>
          <w:rFonts w:ascii="Times New Roman" w:cs="Times New Roman" w:eastAsia="Times New Roman" w:hAnsi="Times New Roman"/>
          <w:sz w:val="28"/>
          <w:szCs w:val="28"/>
        </w:rPr>
        <w:t>Обеспечение потребности 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производстве 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длительном хранении запасов сырьевых материалов (ПХСМ) в количествах, необходимых для производственных </w:t>
      </w:r>
      <w:r>
        <w:rPr>
          <w:rFonts w:ascii="Times New Roman" w:cs="Times New Roman" w:eastAsia="Times New Roman" w:hAnsi="Times New Roman"/>
          <w:sz w:val="28"/>
          <w:szCs w:val="28"/>
        </w:rPr>
        <w:t>нужд медного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месторождения «Песчанка»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spacing w:after="11" w:line="270" w:lineRule="auto"/>
        <w:ind w:firstLine="851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Предварительное место реализации планируемой (намечаемой) хозяйственной и иной деятельности: </w:t>
      </w:r>
      <w:r>
        <w:rPr>
          <w:rFonts w:ascii="Times New Roman" w:cs="Times New Roman" w:eastAsia="Times New Roman" w:hAnsi="Times New Roman"/>
          <w:sz w:val="28"/>
          <w:szCs w:val="28"/>
        </w:rPr>
        <w:t>Российская Федерация, Чукотский автономный округ, Билибинский муниципальный район, месторождение «Песчанка».</w:t>
      </w:r>
    </w:p>
    <w:p>
      <w:pPr>
        <w:spacing w:after="14" w:line="268" w:lineRule="auto"/>
        <w:ind w:firstLine="851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bookmarkEnd w:id="4"/>
      <w:r>
        <w:rPr>
          <w:rFonts w:ascii="Times New Roman" w:cs="Times New Roman" w:eastAsia="Times New Roman" w:hAnsi="Times New Roman"/>
          <w:b/>
          <w:sz w:val="28"/>
          <w:szCs w:val="28"/>
        </w:rPr>
        <w:t>Планируемые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сроки проведения оценки воздействия на окружающую среду:</w:t>
      </w:r>
      <w:bookmarkStart w:id="5" w:name="_Hlk182235605"/>
    </w:p>
    <w:p>
      <w:pPr>
        <w:widowControl w:val="off"/>
        <w:ind w:firstLine="42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июнь 2024 г. – март 2025 г.</w:t>
      </w:r>
    </w:p>
    <w:p>
      <w:pPr>
        <w:spacing w:after="11" w:line="270" w:lineRule="auto"/>
        <w:ind w:left="124" w:firstLine="698"/>
        <w:jc w:val="both"/>
        <w:rPr>
          <w:rFonts w:ascii="Times New Roman" w:cs="Times New Roman" w:hAnsi="Times New Roman"/>
          <w:sz w:val="28"/>
          <w:szCs w:val="28"/>
        </w:rPr>
      </w:pPr>
      <w:bookmarkEnd w:id="5"/>
      <w:r>
        <w:rPr>
          <w:rFonts w:ascii="Times New Roman" w:cs="Times New Roman" w:eastAsia="Times New Roman" w:hAnsi="Times New Roman"/>
          <w:b/>
          <w:sz w:val="28"/>
          <w:szCs w:val="28"/>
        </w:rPr>
        <w:t>Место и сроки доступности о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бъектов общественных обсуждений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и опросных листов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p>
      <w:pPr>
        <w:spacing w:after="13" w:line="271" w:lineRule="auto"/>
        <w:ind w:left="124" w:firstLine="708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роектная документация,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включая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предварительные материал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ы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 ОВОС, формы опросных листов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для заполнения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будут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доступны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в электронном виде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для ознакомления общественности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>в пе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риод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с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23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.11.2024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г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по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22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.12.2024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г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.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>на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>:</w:t>
      </w:r>
    </w:p>
    <w:p>
      <w:pPr>
        <w:spacing w:after="40" w:line="276" w:lineRule="auto"/>
        <w:ind w:left="357" w:right="-142" w:firstLine="629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highlight w:val="none"/>
          <w:u w:val="single"/>
        </w:rPr>
      </w:pP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>официальном сайте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 Администрации муниципального образования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Билибинского муниципального района </w:t>
      </w:r>
      <w:r>
        <w:fldChar w:fldCharType="begin"/>
      </w:r>
      <w:r>
        <w:instrText xml:space="preserve">HYPERLINK "http://bilchao.ru/" </w:instrText>
      </w:r>
      <w:r>
        <w:fldChar w:fldCharType="separate"/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http://</w:t>
      </w:r>
      <w:bookmarkStart w:id="6" w:name="_Hlk182321959"/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bilchao.ru</w:t>
      </w:r>
      <w:bookmarkEnd w:id="6"/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/</w:t>
      </w:r>
      <w:r>
        <w:fldChar w:fldCharType="end"/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</w:rPr>
        <w:t xml:space="preserve"> </w:t>
      </w:r>
      <w:r>
        <w:rPr>
          <w:rFonts w:ascii="Times New Roman" w:cs="Times New Roman" w:hAnsi="Times New Roman"/>
          <w:color w:val="222222"/>
          <w:spacing w:val="-2"/>
          <w:sz w:val="28"/>
          <w:szCs w:val="28"/>
          <w:highlight w:val="none"/>
        </w:rPr>
        <w:t>по ссылке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</w:t>
      </w:r>
      <w:r>
        <w:fldChar w:fldCharType="begin"/>
      </w:r>
      <w:r>
        <w:instrText xml:space="preserve">HYPERLINK "https://disk.baimskaya.ru/index.php/s/XNS2bWntMXn5gnx" </w:instrText>
      </w:r>
      <w:r>
        <w:fldChar w:fldCharType="separate"/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/>
        </w:rPr>
        <w:t>https://disk.baimskaya.ru/index.php/s/XNS2bWntMXn5gnx</w:t>
      </w:r>
      <w:r>
        <w:fldChar w:fldCharType="end"/>
      </w:r>
      <w:r>
        <w:rPr>
          <w:rFonts w:ascii="Times New Roman" w:cs="Times New Roman" w:eastAsia="Arial" w:hAnsi="Times New Roman"/>
          <w:sz w:val="28"/>
          <w:szCs w:val="28"/>
          <w:highlight w:val="none"/>
        </w:rPr>
        <w:t>;</w:t>
      </w:r>
      <w:r>
        <w:rPr>
          <w:rFonts w:ascii="Times New Roman" w:cs="Times New Roman" w:eastAsia="Arial" w:hAnsi="Times New Roman"/>
          <w:sz w:val="28"/>
          <w:szCs w:val="28"/>
        </w:rPr>
        <w:t xml:space="preserve"> </w:t>
      </w:r>
    </w:p>
    <w:p>
      <w:pPr>
        <w:spacing w:after="86" w:line="268" w:lineRule="auto"/>
        <w:ind w:left="903" w:right="51"/>
        <w:jc w:val="both"/>
        <w:rPr>
          <w:rFonts w:ascii="Times New Roman" w:cs="Times New Roman" w:eastAsia="Arial" w:hAnsi="Times New Roman"/>
          <w:color w:val="auto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>-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 на сайте Заказчика </w:t>
      </w:r>
      <w:r>
        <w:fldChar w:fldCharType="begin"/>
      </w:r>
      <w:r>
        <w:instrText xml:space="preserve">HYPERLINK "http://baimskaya.ru/" </w:instrText>
      </w:r>
      <w:r>
        <w:fldChar w:fldCharType="separate"/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http://baimskaya.ru</w:t>
      </w:r>
      <w:r>
        <w:fldChar w:fldCharType="end"/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 xml:space="preserve"> </w:t>
      </w:r>
      <w:r>
        <w:rPr>
          <w:rFonts w:ascii="Times New Roman" w:cs="Times New Roman" w:eastAsia="Arial" w:hAnsi="Times New Roman"/>
          <w:color w:val="auto"/>
          <w:sz w:val="28"/>
          <w:szCs w:val="28"/>
          <w:highlight w:val="none"/>
        </w:rPr>
        <w:t>в разделе «Пресс-центр / Общественные</w:t>
      </w:r>
    </w:p>
    <w:p>
      <w:pPr>
        <w:spacing w:after="86" w:line="268" w:lineRule="auto"/>
        <w:ind w:right="51"/>
        <w:jc w:val="both"/>
        <w:rPr>
          <w:rFonts w:ascii="Times New Roman" w:cs="Times New Roman" w:eastAsia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Arial" w:hAnsi="Times New Roman"/>
          <w:color w:val="auto"/>
          <w:sz w:val="28"/>
          <w:szCs w:val="28"/>
          <w:highlight w:val="none"/>
        </w:rPr>
        <w:t>обсуждения».</w:t>
      </w:r>
      <w:r>
        <w:fldChar w:fldCharType="begin"/>
      </w:r>
      <w:r>
        <w:instrText xml:space="preserve">HYPERLINK "http://baimskaya.ru/" </w:instrText>
      </w:r>
      <w:r>
        <w:fldChar w:fldCharType="separate"/>
      </w:r>
      <w:r>
        <w:rPr>
          <w:rFonts w:ascii="Times New Roman" w:cs="Times New Roman" w:eastAsia="Times New Roman" w:hAnsi="Times New Roman"/>
          <w:color w:val="222222"/>
          <w:sz w:val="28"/>
          <w:szCs w:val="28"/>
        </w:rPr>
        <w:t xml:space="preserve"> </w:t>
      </w:r>
      <w:r>
        <w:fldChar w:fldCharType="end"/>
      </w:r>
    </w:p>
    <w:p>
      <w:pPr>
        <w:widowControl w:val="off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>Ф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орма и срок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проведения 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общественных обсуждений: </w:t>
      </w:r>
      <w:r>
        <w:rPr>
          <w:rFonts w:ascii="Times New Roman" w:cs="Times New Roman" w:eastAsia="Times New Roman" w:hAnsi="Times New Roman"/>
          <w:bCs/>
          <w:sz w:val="28"/>
          <w:szCs w:val="28"/>
          <w:highlight w:val="none"/>
        </w:rPr>
        <w:t>общественные обсуждения проводятся в форме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опроса в период с 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highlight w:val="none"/>
        </w:rPr>
        <w:t>23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highlight w:val="none"/>
        </w:rPr>
        <w:t xml:space="preserve">.11.2024 г. по 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highlight w:val="none"/>
        </w:rPr>
        <w:t>22</w:t>
      </w:r>
      <w:r>
        <w:rPr>
          <w:rFonts w:ascii="Times New Roman" w:cs="Times New Roman" w:eastAsia="Times New Roman" w:hAnsi="Times New Roman"/>
          <w:bCs/>
          <w:color w:val="222222"/>
          <w:sz w:val="28"/>
          <w:szCs w:val="28"/>
          <w:highlight w:val="none"/>
        </w:rPr>
        <w:t xml:space="preserve">.12.2024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г.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>Форма и место представления замечаний и предложений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 и сбора опросных листов</w:t>
      </w: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распечатанные и заполненные опросные листы принимаются н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а электронный адрес: </w:t>
      </w:r>
      <w:r>
        <w:rPr>
          <w:rFonts w:ascii="Times New Roman" w:cs="Times New Roman" w:eastAsia="Times New Roman" w:hAnsi="Times New Roman"/>
          <w:color w:val="0000ff"/>
          <w:sz w:val="28"/>
          <w:szCs w:val="28"/>
          <w:highlight w:val="none"/>
          <w:u w:val="single" w:color="0000ff"/>
        </w:rPr>
        <w:t>info@bilchao.ru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либо направляются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лично или почтовым направлением по адресу: 609450, Чукотский автономный округ, г. Билибино, ул. Курчатова, 6, кабинет 1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13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в период </w:t>
      </w:r>
      <w:r>
        <w:rPr>
          <w:rFonts w:ascii="Times New Roman" w:cs="Times New Roman" w:eastAsia="Times New Roman" w:hAnsi="Times New Roman"/>
          <w:color w:val="222222"/>
          <w:sz w:val="28"/>
          <w:szCs w:val="28"/>
          <w:highlight w:val="none"/>
        </w:rPr>
        <w:t xml:space="preserve">с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23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.11.2024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г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по 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22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>.12.2024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  <w:highlight w:val="none"/>
        </w:rPr>
        <w:t xml:space="preserve"> г.</w:t>
      </w:r>
      <w:r>
        <w:rPr>
          <w:rFonts w:ascii="Times New Roman" w:cs="Times New Roman" w:eastAsia="Times New Roman" w:hAnsi="Times New Roman"/>
          <w:b/>
          <w:color w:val="222222"/>
          <w:sz w:val="28"/>
          <w:szCs w:val="28"/>
        </w:rPr>
        <w:t xml:space="preserve"> 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sz w:val="28"/>
          <w:szCs w:val="28"/>
          <w:highlight w:val="none"/>
        </w:rPr>
      </w:pPr>
      <w:r>
        <w:rPr>
          <w:rFonts w:ascii="Times New Roman" w:cs="Times New Roman" w:hAnsi="Times New Roman"/>
          <w:sz w:val="28"/>
          <w:szCs w:val="28"/>
          <w:highlight w:val="none"/>
        </w:rPr>
        <w:t xml:space="preserve">Также заинтересованным представителям общественности предлагается заполнить Журналы замечаний и предложений, размещенные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по адресу: 609450, Чукотский автономный округ, г. Билибино, ул. Курчатова, 6, кабинет 1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13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, в период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проведения общественных обсуждений, а также в течение 10 дней после окончания общественных обсуждений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по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01.01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.202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5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г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highlight w:val="none"/>
        </w:rPr>
        <w:t xml:space="preserve"> включительно).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>Контактные данные ответственного лица со стороны Заказчика работ по оценке воздействия на окружающую среду:</w:t>
      </w:r>
    </w:p>
    <w:p>
      <w:pPr>
        <w:spacing w:line="276" w:lineRule="auto"/>
        <w:ind w:firstLine="709"/>
        <w:jc w:val="both"/>
        <w:rPr>
          <w:rFonts w:ascii="Times New Roman" w:cs="Times New Roman" w:hAnsi="Times New Roman"/>
          <w:bCs/>
          <w:color w:val="0000ff"/>
          <w:sz w:val="28"/>
          <w:szCs w:val="28"/>
          <w:highlight w:val="none"/>
        </w:rPr>
      </w:pPr>
      <w:r>
        <w:rPr>
          <w:rFonts w:ascii="Times New Roman" w:cs="Times New Roman" w:hAnsi="Times New Roman"/>
          <w:bCs/>
          <w:sz w:val="28"/>
          <w:szCs w:val="28"/>
          <w:highlight w:val="none"/>
        </w:rPr>
        <w:t>Главный инженер проекта ООО «НТЦ-</w:t>
      </w:r>
      <w:r>
        <w:rPr>
          <w:rFonts w:ascii="Times New Roman" w:cs="Times New Roman" w:hAnsi="Times New Roman"/>
          <w:bCs/>
          <w:sz w:val="28"/>
          <w:szCs w:val="28"/>
          <w:highlight w:val="none"/>
        </w:rPr>
        <w:t>Геотехнология</w:t>
      </w:r>
      <w:r>
        <w:rPr>
          <w:rFonts w:ascii="Times New Roman" w:cs="Times New Roman" w:hAnsi="Times New Roman"/>
          <w:bCs/>
          <w:sz w:val="28"/>
          <w:szCs w:val="28"/>
          <w:highlight w:val="none"/>
        </w:rPr>
        <w:t>»</w:t>
      </w:r>
      <w:r>
        <w:rPr>
          <w:rFonts w:ascii="Times New Roman" w:cs="Times New Roman" w:hAnsi="Times New Roman"/>
          <w:sz w:val="28"/>
          <w:szCs w:val="28"/>
          <w:highlight w:val="none"/>
        </w:rPr>
        <w:t xml:space="preserve"> - </w:t>
      </w:r>
      <w:r>
        <w:rPr>
          <w:rFonts w:ascii="Times New Roman" w:cs="Times New Roman" w:hAnsi="Times New Roman"/>
          <w:bCs/>
          <w:sz w:val="28"/>
          <w:szCs w:val="28"/>
          <w:highlight w:val="none"/>
        </w:rPr>
        <w:t xml:space="preserve">Мурзина Екатерина Васильевна, тел.: +7 351 220 22 00, электронная почта: </w:t>
      </w:r>
      <w:r>
        <w:rPr>
          <w:rFonts w:ascii="Times New Roman" w:cs="Times New Roman" w:hAnsi="Times New Roman"/>
          <w:bCs/>
          <w:color w:val="0000ff"/>
          <w:sz w:val="28"/>
          <w:szCs w:val="28"/>
          <w:highlight w:val="none"/>
          <w:lang w:val="en-US"/>
        </w:rPr>
        <w:t>murzina</w:t>
      </w:r>
      <w:r>
        <w:rPr>
          <w:rFonts w:ascii="Times New Roman" w:cs="Times New Roman" w:hAnsi="Times New Roman"/>
          <w:bCs/>
          <w:color w:val="0000ff"/>
          <w:sz w:val="28"/>
          <w:szCs w:val="28"/>
          <w:highlight w:val="none"/>
        </w:rPr>
        <w:t>@</w:t>
      </w:r>
      <w:r>
        <w:rPr>
          <w:rFonts w:ascii="Times New Roman" w:cs="Times New Roman" w:hAnsi="Times New Roman"/>
          <w:bCs/>
          <w:color w:val="0000ff"/>
          <w:sz w:val="28"/>
          <w:szCs w:val="28"/>
          <w:highlight w:val="none"/>
          <w:lang w:val="en-US"/>
        </w:rPr>
        <w:t>ustup</w:t>
      </w:r>
      <w:r>
        <w:rPr>
          <w:rFonts w:ascii="Times New Roman" w:cs="Times New Roman" w:hAnsi="Times New Roman"/>
          <w:bCs/>
          <w:color w:val="0000ff"/>
          <w:sz w:val="28"/>
          <w:szCs w:val="28"/>
          <w:highlight w:val="none"/>
        </w:rPr>
        <w:t>.</w:t>
      </w:r>
      <w:r>
        <w:rPr>
          <w:rFonts w:ascii="Times New Roman" w:cs="Times New Roman" w:hAnsi="Times New Roman"/>
          <w:bCs/>
          <w:color w:val="0000ff"/>
          <w:sz w:val="28"/>
          <w:szCs w:val="28"/>
          <w:highlight w:val="none"/>
          <w:lang w:val="en-US"/>
        </w:rPr>
        <w:t>ru</w:t>
      </w:r>
    </w:p>
    <w:p>
      <w:pPr>
        <w:spacing w:line="276" w:lineRule="auto"/>
        <w:ind w:firstLine="709"/>
        <w:jc w:val="both"/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highlight w:val="none"/>
        </w:rPr>
        <w:t>Контактные данные ответственного лица со стороны Исполнителя работ по оценке воздействия на окружающую среду: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</w:p>
    <w:p>
      <w:pPr>
        <w:spacing w:line="276" w:lineRule="auto"/>
        <w:ind w:firstLine="709"/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highlight w:val="none"/>
        </w:rPr>
        <w:t>Руководитель отдела по взаимодействию с государственным</w:t>
      </w:r>
      <w:r>
        <w:rPr>
          <w:rFonts w:ascii="Times New Roman" w:cs="Times New Roman" w:hAnsi="Times New Roman"/>
          <w:bCs/>
          <w:sz w:val="28"/>
          <w:szCs w:val="28"/>
        </w:rPr>
        <w:t>и органами по вопросам экологии - Филиппова Анна Николаевн</w:t>
      </w:r>
      <w:bookmarkStart w:id="7" w:name="_Hlk182403809"/>
      <w:r>
        <w:rPr>
          <w:rFonts w:ascii="Times New Roman" w:cs="Times New Roman" w:hAnsi="Times New Roman"/>
          <w:bCs/>
          <w:sz w:val="28"/>
          <w:szCs w:val="28"/>
        </w:rPr>
        <w:t>а, тел.:</w:t>
      </w:r>
      <w:bookmarkEnd w:id="7"/>
      <w:r>
        <w:rPr>
          <w:rFonts w:ascii="Times New Roman" w:cs="Times New Roman" w:hAnsi="Times New Roman"/>
          <w:bCs/>
          <w:sz w:val="28"/>
          <w:szCs w:val="28"/>
        </w:rPr>
        <w:t xml:space="preserve"> + 7-495-540-87-55,</w:t>
      </w:r>
      <w:bookmarkStart w:id="8" w:name="_Hlk182403884"/>
      <w:r>
        <w:rPr>
          <w:rFonts w:ascii="Times New Roman" w:cs="Times New Roman" w:hAnsi="Times New Roman"/>
          <w:bCs/>
          <w:sz w:val="28"/>
          <w:szCs w:val="28"/>
        </w:rPr>
        <w:t xml:space="preserve"> электронная почта:</w:t>
      </w:r>
      <w:bookmarkEnd w:id="8"/>
      <w:r>
        <w:rPr>
          <w:rFonts w:ascii="Times New Roman" w:cs="Times New Roman" w:hAnsi="Times New Roman"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color w:val="0000ff"/>
          <w:sz w:val="28"/>
          <w:szCs w:val="28"/>
        </w:rPr>
        <w:t xml:space="preserve">anna.filippova@baimskaya.com.   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Контактные данные ответственных лиц со стороны Администрации МО Билибинский муниципальный район: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bCs/>
          <w:color w:val="0000ff"/>
          <w:sz w:val="28"/>
          <w:szCs w:val="28"/>
        </w:rPr>
      </w:pP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Начальник отдела архитектуры и градостроительства Управления промышленной и сельскохозяйственной политики - 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>Филянов</w:t>
      </w:r>
      <w:r>
        <w:rPr>
          <w:rFonts w:ascii="Times New Roman" w:cs="Times New Roman" w:eastAsia="Times New Roman" w:hAnsi="Times New Roman"/>
          <w:bCs/>
          <w:sz w:val="28"/>
          <w:szCs w:val="28"/>
        </w:rPr>
        <w:t xml:space="preserve"> Андрей Николаевич, тел.: +7 (42738) 2-35-06, электронная почта: </w:t>
      </w:r>
      <w:r>
        <w:rPr>
          <w:rFonts w:ascii="Times New Roman" w:cs="Times New Roman" w:eastAsia="Times New Roman" w:hAnsi="Times New Roman"/>
          <w:bCs/>
          <w:color w:val="0000ff"/>
          <w:sz w:val="28"/>
          <w:szCs w:val="28"/>
        </w:rPr>
        <w:t xml:space="preserve">filyanov@bilchao.ru. </w:t>
      </w:r>
    </w:p>
    <w:p>
      <w:pPr>
        <w:spacing w:after="14" w:line="268" w:lineRule="auto"/>
        <w:ind w:left="124" w:firstLine="708"/>
        <w:jc w:val="both"/>
        <w:rPr>
          <w:rFonts w:ascii="Times New Roman" w:cs="Times New Roman" w:eastAsia="Times New Roman" w:hAnsi="Times New Roman"/>
          <w:bCs/>
          <w:sz w:val="28"/>
          <w:szCs w:val="28"/>
        </w:rPr>
      </w:pPr>
    </w:p>
    <w:p>
      <w:pPr>
        <w:spacing w:after="14" w:line="268" w:lineRule="auto"/>
        <w:ind w:left="124"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 исполнение п. 7.9.2 Требований к материалам ОВОС, утв. Приказом Минприроды России от 01.12.2020 № 999, для обеспечения доступности объекта общественных обсуждений для ознакомления общественности </w:t>
      </w:r>
      <w:r>
        <w:rPr>
          <w:rFonts w:ascii="Times New Roman" w:cs="Times New Roman" w:hAnsi="Times New Roman"/>
          <w:sz w:val="28"/>
          <w:szCs w:val="28"/>
        </w:rPr>
        <w:t xml:space="preserve">осуществляется информирование на 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</w:t>
      </w:r>
      <w:r>
        <w:rPr>
          <w:rFonts w:ascii="Times New Roman" w:cs="Times New Roman" w:hAnsi="Times New Roman"/>
          <w:sz w:val="28"/>
          <w:szCs w:val="28"/>
        </w:rPr>
        <w:t>на официальном сайте заказчика</w:t>
      </w:r>
      <w:r>
        <w:rPr>
          <w:rFonts w:ascii="Times New Roman" w:cs="Times New Roman" w:hAnsi="Times New Roman"/>
          <w:sz w:val="28"/>
          <w:szCs w:val="28"/>
        </w:rPr>
        <w:t>, регистрация мнения общественности в письменном виде в общественных приемных.</w:t>
      </w:r>
    </w:p>
    <w:sect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0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192" w:hanging="360"/>
      </w:pPr>
      <w:rPr>
        <w:rFonts w:eastAsia="Calibr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912" w:hanging="360"/>
      </w:pPr>
    </w:lvl>
    <w:lvl w:ilvl="2" w:tentative="1">
      <w:start w:val="1"/>
      <w:numFmt w:val="lowerRoman"/>
      <w:lvlText w:val="%3."/>
      <w:lvlJc w:val="right"/>
      <w:pPr>
        <w:ind w:left="2632" w:hanging="180"/>
      </w:pPr>
    </w:lvl>
    <w:lvl w:ilvl="3" w:tentative="1">
      <w:start w:val="1"/>
      <w:numFmt w:val="decimal"/>
      <w:lvlText w:val="%4."/>
      <w:lvlJc w:val="left"/>
      <w:pPr>
        <w:ind w:left="3352" w:hanging="360"/>
      </w:pPr>
    </w:lvl>
    <w:lvl w:ilvl="4" w:tentative="1">
      <w:start w:val="1"/>
      <w:numFmt w:val="lowerLetter"/>
      <w:lvlText w:val="%5."/>
      <w:lvlJc w:val="left"/>
      <w:pPr>
        <w:ind w:left="4072" w:hanging="360"/>
      </w:pPr>
    </w:lvl>
    <w:lvl w:ilvl="5" w:tentative="1">
      <w:start w:val="1"/>
      <w:numFmt w:val="lowerRoman"/>
      <w:lvlText w:val="%6."/>
      <w:lvlJc w:val="right"/>
      <w:pPr>
        <w:ind w:left="4792" w:hanging="180"/>
      </w:pPr>
    </w:lvl>
    <w:lvl w:ilvl="6" w:tentative="1">
      <w:start w:val="1"/>
      <w:numFmt w:val="decimal"/>
      <w:lvlText w:val="%7."/>
      <w:lvlJc w:val="left"/>
      <w:pPr>
        <w:ind w:left="5512" w:hanging="360"/>
      </w:pPr>
    </w:lvl>
    <w:lvl w:ilvl="7" w:tentative="1">
      <w:start w:val="1"/>
      <w:numFmt w:val="lowerLetter"/>
      <w:lvlText w:val="%8."/>
      <w:lvlJc w:val="left"/>
      <w:pPr>
        <w:ind w:left="6232" w:hanging="360"/>
      </w:pPr>
    </w:lvl>
    <w:lvl w:ilvl="8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">
    <w:multiLevelType w:val="hybridMultilevel"/>
    <w:lvl w:ilvl="0" w:tentative="0">
      <w:start w:val="1"/>
      <w:numFmt w:val="bullet"/>
      <w:lvlText w:val="•"/>
      <w:lvlJc w:val="left"/>
      <w:pPr>
        <w:ind w:left="1506"/>
      </w:pPr>
      <w:rPr>
        <w:rFonts w:ascii="Arial" w:cs="Arial" w:eastAsia="Arial" w:hAnsi="Aria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91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63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358"/>
      </w:pPr>
      <w:rPr>
        <w:rFonts w:ascii="Arial" w:cs="Arial" w:eastAsia="Arial" w:hAnsi="Aria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07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79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518"/>
      </w:pPr>
      <w:rPr>
        <w:rFonts w:ascii="Arial" w:cs="Arial" w:eastAsia="Arial" w:hAnsi="Aria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23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958"/>
      </w:pPr>
      <w:rPr>
        <w:rFonts w:ascii="Segoe UI Symbol" w:cs="Segoe UI Symbol" w:eastAsia="Segoe UI Symbol" w:hAnsi="Segoe UI Symbol"/>
        <w:b w:val="off"/>
        <w:i w:val="off"/>
        <w:color w:val="000000"/>
        <w:sz w:val="24"/>
        <w:szCs w:val="24"/>
        <w:u w:val="none" w:color="000000"/>
        <w:bdr w:val="none" w:sz="4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7"/>
    <w:rsid w:val="0003054D"/>
    <w:rsid w:val="000F68A5"/>
    <w:rsid w:val="00214EDF"/>
    <w:rsid w:val="00224276"/>
    <w:rsid w:val="00225055"/>
    <w:rsid w:val="00257C09"/>
    <w:rsid w:val="002D0F29"/>
    <w:rsid w:val="003040CB"/>
    <w:rsid w:val="00306BC9"/>
    <w:rsid w:val="00322FC3"/>
    <w:rsid w:val="003703D2"/>
    <w:rsid w:val="003C00C4"/>
    <w:rsid w:val="003C514F"/>
    <w:rsid w:val="00477DA2"/>
    <w:rsid w:val="00500157"/>
    <w:rsid w:val="0056297C"/>
    <w:rsid w:val="0058124D"/>
    <w:rsid w:val="005E429A"/>
    <w:rsid w:val="006A47DE"/>
    <w:rsid w:val="006D5482"/>
    <w:rsid w:val="006F0171"/>
    <w:rsid w:val="007B36AE"/>
    <w:rsid w:val="00800D20"/>
    <w:rsid w:val="00854BE8"/>
    <w:rsid w:val="008B0258"/>
    <w:rsid w:val="0092375D"/>
    <w:rsid w:val="00924585"/>
    <w:rsid w:val="009B2522"/>
    <w:rsid w:val="009B4FE7"/>
    <w:rsid w:val="00A714F9"/>
    <w:rsid w:val="00A84E72"/>
    <w:rsid w:val="00A94E2F"/>
    <w:rsid w:val="00B17760"/>
    <w:rsid w:val="00B40AA6"/>
    <w:rsid w:val="00B81AB0"/>
    <w:rsid w:val="00B970AB"/>
    <w:rsid w:val="00C1231B"/>
    <w:rsid w:val="00C253C7"/>
    <w:rsid w:val="00D00C0C"/>
    <w:rsid w:val="00D03B22"/>
    <w:rsid w:val="00D546F6"/>
    <w:rsid w:val="00D5577E"/>
    <w:rsid w:val="00DB7D14"/>
    <w:rsid w:val="00E51DBF"/>
    <w:rsid w:val="00F21159"/>
    <w:rsid w:val="00FB75D5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3449"/>
  <w15:docId w15:val="{E397E8F3-4CDC-49D5-BAAE-C4DB2E8448DE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  <w14:ligatures w14:val="standardContextual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Calibri" w:cs="Calibri" w:eastAsia="Calibri" w:hAnsi="Calibri"/>
      <w:color w:val="00000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Annotationreference">
    <w:name w:val="Annotation reference"/>
    <w:basedOn w:val="DefaultParagraphFont"/>
    <w:uiPriority w:val="99"/>
    <w:semiHidden w:val="on"/>
    <w:unhideWhenUsed w:val="on"/>
    <w:rPr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Annotationtext"/>
    <w:uiPriority w:val="99"/>
    <w:semiHidden w:val="on"/>
    <w:rPr>
      <w:rFonts w:ascii="Calibri" w:cs="Calibri" w:eastAsia="Calibri" w:hAnsi="Calibri"/>
      <w:color w:val="000000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on"/>
    <w:unhideWhenUsed w:val="on"/>
    <w:rPr>
      <w:b/>
      <w:bCs/>
    </w:rPr>
  </w:style>
  <w:style w:type="character" w:customStyle="1" w:styleId="CommentSubjectChar">
    <w:name w:val="Comment Subject Char"/>
    <w:basedOn w:val="CommentTextChar"/>
    <w:link w:val="Annotationsubject"/>
    <w:uiPriority w:val="99"/>
    <w:semiHidden w:val="on"/>
    <w:rPr>
      <w:rFonts w:ascii="Calibri" w:cs="Calibri" w:eastAsia="Calibri" w:hAnsi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eastAsia="Calibri" w:hAnsi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hyperlink" Target="http://bilchao.ru/" TargetMode="External"/><Relationship Id="rId6" Type="http://schemas.openxmlformats.org/officeDocument/2006/relationships/hyperlink" Target="https://disk.baimskaya.ru/index.php/s/XNS2bWntMXn5gnx" TargetMode="External"/><Relationship Id="rId7" Type="http://schemas.openxmlformats.org/officeDocument/2006/relationships/hyperlink" Target="http://baimskaya.ru/" TargetMode="External"/><Relationship Id="rId8" Type="http://schemas.openxmlformats.org/officeDocument/2006/relationships/hyperlink" Target="http://baimskaya.ru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Бадмаева</dc:creator>
  <cp:lastModifiedBy>Polly Filippova</cp:lastModifiedBy>
</cp:coreProperties>
</file>