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31" w:rsidRDefault="00354B31" w:rsidP="00421623">
      <w:pPr>
        <w:rPr>
          <w:b/>
          <w:sz w:val="28"/>
        </w:rPr>
      </w:pPr>
    </w:p>
    <w:p w:rsidR="00354B31" w:rsidRDefault="00421623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354B31" w:rsidRDefault="00421623">
      <w:pPr>
        <w:jc w:val="center"/>
        <w:rPr>
          <w:sz w:val="28"/>
        </w:rPr>
      </w:pPr>
      <w:r>
        <w:rPr>
          <w:sz w:val="28"/>
        </w:rPr>
        <w:t xml:space="preserve">о реализации Плана мероприятий, направленных на профилактику и противодействие коррупции </w:t>
      </w:r>
    </w:p>
    <w:p w:rsidR="00354B31" w:rsidRDefault="00421623">
      <w:pPr>
        <w:jc w:val="center"/>
        <w:rPr>
          <w:sz w:val="28"/>
        </w:rPr>
      </w:pPr>
      <w:r>
        <w:rPr>
          <w:sz w:val="28"/>
        </w:rPr>
        <w:t xml:space="preserve">в Комитете охране объектов культурного наследия Чукотского автономного округа, на 2021-2024 годы </w:t>
      </w:r>
    </w:p>
    <w:p w:rsidR="00354B31" w:rsidRDefault="00421623">
      <w:pPr>
        <w:jc w:val="center"/>
        <w:rPr>
          <w:sz w:val="28"/>
        </w:rPr>
      </w:pPr>
      <w:r>
        <w:rPr>
          <w:sz w:val="28"/>
        </w:rPr>
        <w:t>(за 4 квартал 2024 года)</w:t>
      </w:r>
    </w:p>
    <w:p w:rsidR="00354B31" w:rsidRDefault="00354B31">
      <w:pPr>
        <w:jc w:val="center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6788"/>
        <w:gridCol w:w="7654"/>
      </w:tblGrid>
      <w:tr w:rsidR="00354B31">
        <w:trPr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по плану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Информация о  </w:t>
            </w:r>
            <w:r>
              <w:rPr>
                <w:sz w:val="22"/>
              </w:rPr>
              <w:t>реализации</w:t>
            </w:r>
          </w:p>
        </w:tc>
      </w:tr>
      <w:tr w:rsidR="00354B31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анализа реализации ведомственного плана в целях принятия мер по предупреждению коррупции, минимизации и (или) ликвидации последствий коррупционных </w:t>
            </w:r>
            <w:r>
              <w:rPr>
                <w:sz w:val="22"/>
              </w:rPr>
              <w:t xml:space="preserve">правонарушений и достижения конкретных результатов в работе по предупреждению коррупции и представление в Управление по профилактике коррупционных и иных правонарушений Чукотского автономного округа информации о реализации плана противодействия коррупции, </w:t>
            </w:r>
            <w:r>
              <w:rPr>
                <w:sz w:val="22"/>
              </w:rPr>
              <w:t>утвержденного в Комитете;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за 4 квартал 2024 года направлена в Управление по профилактике коррупционных и иных правонарушений Чукотского автономного округа (исх. № 01-15/53 от 21.01.2025)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рассмотрение на совещаниях, коллегиях, комиссиях хо</w:t>
            </w:r>
            <w:r>
              <w:rPr>
                <w:sz w:val="22"/>
              </w:rPr>
              <w:t xml:space="preserve">да реализации мероприятий ведомственного плана Комитета;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23 декабря 2024 года состоялось заседание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</w:t>
            </w:r>
            <w:r>
              <w:rPr>
                <w:sz w:val="22"/>
              </w:rPr>
              <w:t>тономного округа, и урегулированию конфликта интересов (Протокол от 23.12.2024 г. № 4</w:t>
            </w:r>
            <w:r>
              <w:rPr>
                <w:sz w:val="22"/>
              </w:rPr>
              <w:t>). На состоявшемся заседании был рассмотрен вопрос об исполнении Ведомственного плана мероприятий по профилактике и противодействию коррупции в Комитета по охране объекто</w:t>
            </w:r>
            <w:r>
              <w:rPr>
                <w:sz w:val="22"/>
              </w:rPr>
              <w:t>в культурного наследия Чукотского автономного округа на 2021-2024 годы за 4 квартал 2024 года.</w:t>
            </w:r>
          </w:p>
          <w:p w:rsidR="00354B31" w:rsidRDefault="00354B31">
            <w:pPr>
              <w:jc w:val="both"/>
              <w:rPr>
                <w:sz w:val="22"/>
              </w:rPr>
            </w:pP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размещение отчета о реализации мероприятий ведомственного плана на официальном сайте Чукотского автономного округа в информационно-телекоммуникационной с</w:t>
            </w:r>
            <w:r>
              <w:rPr>
                <w:sz w:val="22"/>
              </w:rPr>
              <w:t xml:space="preserve">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в разделе «Комитета по охране объектов культурного наследия Чукотского автономного округа»;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за 4 квартал 2024 года размещена в информационно-телекоммуникационной сети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на странице Комитета по охра</w:t>
            </w:r>
            <w:r>
              <w:rPr>
                <w:sz w:val="22"/>
              </w:rPr>
              <w:t xml:space="preserve">не объектов культурного наследия Чукотского автономного округа 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Размещение отчета о реализации мероприятий Плана в разделе «Противодействие коррупции» на странице Комитета на официальном сайте Чукотского автономного округа в информационно-коммуникацио</w:t>
            </w:r>
            <w:r>
              <w:rPr>
                <w:sz w:val="22"/>
              </w:rPr>
              <w:t>нной сети «Интернет»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о реализации Плана мероприятий, направленных на профилактику и противодействие коррупции в Комитете, на 2021-2024 годы за 4-й квартал 2024 года размещена на странице Комитета.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Представление отчета о реализации </w:t>
            </w:r>
            <w:r>
              <w:rPr>
                <w:sz w:val="22"/>
              </w:rPr>
              <w:t>мероприятий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Отчет о реализации мероприятий Плана направлен в Управление по профилактике коррупционных и иных правонарушений Чукотского автономного округа  </w:t>
            </w:r>
            <w:r>
              <w:rPr>
                <w:sz w:val="22"/>
              </w:rPr>
              <w:t>(исх. № 01-15/053 от 21.01.2025)</w:t>
            </w:r>
          </w:p>
        </w:tc>
      </w:tr>
      <w:tr w:rsidR="00354B31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354B31">
            <w:pPr>
              <w:jc w:val="center"/>
              <w:rPr>
                <w:sz w:val="22"/>
              </w:rPr>
            </w:pP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354B31">
            <w:pPr>
              <w:spacing w:after="60"/>
              <w:jc w:val="both"/>
              <w:rPr>
                <w:sz w:val="22"/>
              </w:rPr>
            </w:pP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Работа с кадровым резервом: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Представление в Управление государственной службы, кадровой работы и </w:t>
            </w:r>
            <w:r>
              <w:rPr>
                <w:sz w:val="22"/>
              </w:rPr>
              <w:t>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Комитета вносятся изменения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апрель от 02.05.2024 г. № 01-15/535</w:t>
            </w:r>
          </w:p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май      от 31.05.2024 г. № 01-15/413</w:t>
            </w:r>
          </w:p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июн</w:t>
            </w:r>
            <w:r>
              <w:rPr>
                <w:sz w:val="22"/>
              </w:rPr>
              <w:t>ь   от 28.06.2024 г.  № 01-15/492</w:t>
            </w:r>
          </w:p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июль   от 05.08.2024 г.  № 01-15/526</w:t>
            </w:r>
          </w:p>
          <w:p w:rsidR="00354B31" w:rsidRDefault="0042162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август  от</w:t>
            </w:r>
            <w:proofErr w:type="gramEnd"/>
            <w:r>
              <w:rPr>
                <w:sz w:val="22"/>
              </w:rPr>
              <w:t xml:space="preserve"> 28.06.2024 г.  № 01-15/492</w:t>
            </w:r>
          </w:p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 xml:space="preserve">сентябрь от 03.09.2024 </w:t>
            </w:r>
            <w:proofErr w:type="gramStart"/>
            <w:r>
              <w:rPr>
                <w:sz w:val="22"/>
              </w:rPr>
              <w:t>№  01</w:t>
            </w:r>
            <w:proofErr w:type="gramEnd"/>
            <w:r>
              <w:rPr>
                <w:sz w:val="22"/>
              </w:rPr>
              <w:t>-15/ 671</w:t>
            </w:r>
          </w:p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октябрь от 07.10.2024 г. № 01-15/758</w:t>
            </w:r>
          </w:p>
          <w:p w:rsidR="00354B31" w:rsidRDefault="0042162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ноябрь  от</w:t>
            </w:r>
            <w:proofErr w:type="gramEnd"/>
            <w:r>
              <w:rPr>
                <w:sz w:val="22"/>
              </w:rPr>
              <w:t xml:space="preserve">  07.11.2024 г. № 01-15/883</w:t>
            </w:r>
          </w:p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декабрь от 27.12.2024 г. № 01-15/97</w:t>
            </w:r>
            <w:r>
              <w:rPr>
                <w:sz w:val="22"/>
              </w:rPr>
              <w:t>6</w:t>
            </w:r>
          </w:p>
        </w:tc>
      </w:tr>
      <w:tr w:rsidR="00354B31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Представление в Управление по профилактике коррупционных и иных правонарушений Чукотского автономного округа перечня приказов Комитета по вопросам </w:t>
            </w:r>
            <w:r>
              <w:rPr>
                <w:sz w:val="22"/>
              </w:rPr>
              <w:t>противодействия коррупции, принятых в отчетном периоде, с приложением копий таких приказов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Перечень за третий квартал направлен 10.01.2025 от 01-15/014</w:t>
            </w:r>
          </w:p>
        </w:tc>
      </w:tr>
      <w:tr w:rsidR="00354B31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>Взаимодействие с органами прокуратуры: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вопросам проведения правовой и антикоррупционной экспертизы нормативных правовых актов Комитета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rPr>
                <w:sz w:val="22"/>
              </w:rPr>
            </w:pPr>
            <w:r>
              <w:rPr>
                <w:sz w:val="22"/>
              </w:rPr>
              <w:t xml:space="preserve">В четвертом  квартале 2024 года на правовую и антикоррупционную экспертизу в Прокуратуру Чукотского автономного </w:t>
            </w:r>
            <w:r>
              <w:rPr>
                <w:sz w:val="22"/>
              </w:rPr>
              <w:t>округа направлено</w:t>
            </w:r>
            <w:r>
              <w:rPr>
                <w:sz w:val="22"/>
              </w:rPr>
              <w:br/>
              <w:t xml:space="preserve">6 </w:t>
            </w:r>
            <w:r>
              <w:t xml:space="preserve"> проектов нормативных правовых акта </w:t>
            </w:r>
            <w:r>
              <w:rPr>
                <w:sz w:val="22"/>
              </w:rPr>
              <w:t>Комитета  2 проекта Постановления Правительства и 1 Распоряжение Правительства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вопросам представления информации в рамках заключенного Соглашения о взаимодействии прокуратуры Чукотского </w:t>
            </w:r>
            <w:r>
              <w:rPr>
                <w:sz w:val="22"/>
              </w:rPr>
              <w:t>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Информация в соответствии с Соглашением о взаимодействии прокуратуры Чукотского автономного округа и государственными органами исполнительной вл</w:t>
            </w:r>
            <w:r>
              <w:rPr>
                <w:sz w:val="22"/>
              </w:rPr>
              <w:t>асти округа в области противодействия коррупции за 4 квартал 2024 года направлена Комитетом по охране объектов культурного наследия Чукотского автономного округа в адрес Управления по профилактике коррупционных и иных правонарушений (исх.</w:t>
            </w:r>
            <w:bookmarkStart w:id="0" w:name="_GoBack"/>
            <w:bookmarkEnd w:id="0"/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>от 10.01.2025 от 0</w:t>
            </w:r>
            <w:r>
              <w:rPr>
                <w:sz w:val="22"/>
              </w:rPr>
              <w:t>1-15/014</w:t>
            </w:r>
          </w:p>
        </w:tc>
      </w:tr>
      <w:tr w:rsidR="00354B31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 Антикоррупционное просвещение, взаимодействие с населением и структурами гражданского общества</w:t>
            </w:r>
          </w:p>
        </w:tc>
      </w:tr>
      <w:tr w:rsidR="00354B3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ind w:left="37" w:right="140"/>
              <w:jc w:val="both"/>
            </w:pPr>
            <w:r>
              <w:t xml:space="preserve">Установление обратной связи с гражданами в обеспечение права граждан на доступ к информации о деятельности исполнительных органов </w:t>
            </w:r>
            <w:r>
              <w:t>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31" w:rsidRDefault="00421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комитете функционирует «Телефон доверия» установленный в целях оперативного  реагирования на возможные коррупционные прояв</w:t>
            </w:r>
            <w:r>
              <w:rPr>
                <w:sz w:val="22"/>
              </w:rPr>
              <w:t>ления в деятельности государственных гражданских служащих, работников Комитета, а так же для обеспечения защиты прав и законных интересов граждан</w:t>
            </w:r>
          </w:p>
        </w:tc>
      </w:tr>
    </w:tbl>
    <w:p w:rsidR="00354B31" w:rsidRDefault="00354B31" w:rsidP="00421623">
      <w:pPr>
        <w:rPr>
          <w:b/>
          <w:sz w:val="28"/>
        </w:rPr>
      </w:pPr>
    </w:p>
    <w:sectPr w:rsidR="00354B31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31"/>
    <w:rsid w:val="00354B31"/>
    <w:rsid w:val="004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A041"/>
  <w15:docId w15:val="{A574D53D-3421-4572-B257-4ADAC964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5">
    <w:name w:val="Body Text"/>
    <w:basedOn w:val="a"/>
    <w:link w:val="a6"/>
    <w:pPr>
      <w:jc w:val="both"/>
    </w:pPr>
    <w:rPr>
      <w:sz w:val="26"/>
    </w:rPr>
  </w:style>
  <w:style w:type="character" w:customStyle="1" w:styleId="a6">
    <w:name w:val="Основной текст Знак"/>
    <w:basedOn w:val="1"/>
    <w:link w:val="a5"/>
    <w:rPr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"/>
    <w:link w:val="a7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link w:val="a9"/>
    <w:rPr>
      <w:i/>
    </w:rPr>
  </w:style>
  <w:style w:type="character" w:styleId="a9">
    <w:name w:val="Emphasis"/>
    <w:link w:val="12"/>
    <w:rPr>
      <w:i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basedOn w:val="aa"/>
    <w:link w:val="ab"/>
  </w:style>
  <w:style w:type="character" w:styleId="ab">
    <w:name w:val="page number"/>
    <w:basedOn w:val="ac"/>
    <w:link w:val="13"/>
    <w:rPr>
      <w:rFonts w:ascii="Verdana" w:hAnsi="Verdan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Знак Знак Знак 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 Знак Знак Знак"/>
    <w:basedOn w:val="1"/>
    <w:link w:val="ae"/>
    <w:rPr>
      <w:rFonts w:ascii="Verdana" w:hAnsi="Verdana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Знак Знак Знак Знак"/>
    <w:basedOn w:val="a"/>
    <w:link w:val="af3"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name w:val="Знак Знак Знак Знак"/>
    <w:basedOn w:val="1"/>
    <w:link w:val="af2"/>
    <w:rPr>
      <w:rFonts w:ascii="Verdana" w:hAnsi="Verdana"/>
      <w:sz w:val="20"/>
    </w:rPr>
  </w:style>
  <w:style w:type="paragraph" w:customStyle="1" w:styleId="18">
    <w:name w:val="Знак концевой сноски1"/>
    <w:link w:val="af4"/>
    <w:rPr>
      <w:vertAlign w:val="superscript"/>
    </w:rPr>
  </w:style>
  <w:style w:type="character" w:styleId="af4">
    <w:name w:val="endnote reference"/>
    <w:link w:val="18"/>
    <w:rPr>
      <w:vertAlign w:val="superscript"/>
    </w:rPr>
  </w:style>
  <w:style w:type="paragraph" w:styleId="af5">
    <w:name w:val="Plain Text"/>
    <w:basedOn w:val="a"/>
    <w:link w:val="af6"/>
    <w:rPr>
      <w:rFonts w:ascii="Courier New" w:hAnsi="Courier New"/>
      <w:sz w:val="20"/>
    </w:rPr>
  </w:style>
  <w:style w:type="character" w:customStyle="1" w:styleId="af6">
    <w:name w:val="Текст Знак"/>
    <w:basedOn w:val="1"/>
    <w:link w:val="af5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character" w:customStyle="1" w:styleId="afa">
    <w:name w:val="Верхний колонтитул Знак"/>
    <w:basedOn w:val="1"/>
    <w:link w:val="af9"/>
    <w:rPr>
      <w:sz w:val="20"/>
    </w:rPr>
  </w:style>
  <w:style w:type="paragraph" w:customStyle="1" w:styleId="aa">
    <w:name w:val="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a"/>
    <w:rPr>
      <w:rFonts w:ascii="Verdana" w:hAnsi="Verdana"/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6"/>
    </w:rPr>
  </w:style>
  <w:style w:type="paragraph" w:styleId="afd">
    <w:name w:val="caption"/>
    <w:basedOn w:val="a"/>
    <w:next w:val="a"/>
    <w:link w:val="afe"/>
    <w:pPr>
      <w:jc w:val="center"/>
    </w:pPr>
    <w:rPr>
      <w:b/>
      <w:sz w:val="28"/>
    </w:rPr>
  </w:style>
  <w:style w:type="character" w:customStyle="1" w:styleId="afe">
    <w:name w:val="Название объекта Знак"/>
    <w:basedOn w:val="1"/>
    <w:link w:val="afd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2025-08-25T05:24:00Z</dcterms:created>
  <dcterms:modified xsi:type="dcterms:W3CDTF">2025-08-25T05:25:00Z</dcterms:modified>
</cp:coreProperties>
</file>