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C1DA7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63D4902A">
      <w:pPr>
        <w:spacing w:after="160" w:line="240" w:lineRule="auto"/>
        <w:ind w:firstLine="3828"/>
        <w:contextualSpacing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УТВЕРЖДЕНО</w:t>
      </w:r>
    </w:p>
    <w:p w14:paraId="75DA4069">
      <w:pPr>
        <w:spacing w:after="160" w:line="240" w:lineRule="auto"/>
        <w:ind w:firstLine="3828"/>
        <w:contextualSpacing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протоколом заседания Комиссии,</w:t>
      </w:r>
    </w:p>
    <w:p w14:paraId="4F8ADFB7">
      <w:pPr>
        <w:spacing w:after="160" w:line="240" w:lineRule="auto"/>
        <w:ind w:firstLine="3828"/>
        <w:contextualSpacing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осуществляющей оценку эффективности</w:t>
      </w:r>
    </w:p>
    <w:p w14:paraId="18336DBA">
      <w:pPr>
        <w:spacing w:after="160" w:line="240" w:lineRule="auto"/>
        <w:ind w:firstLine="3828"/>
        <w:contextualSpacing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организации и функционирования </w:t>
      </w:r>
    </w:p>
    <w:p w14:paraId="0FEF0CEA">
      <w:pPr>
        <w:spacing w:after="160" w:line="240" w:lineRule="auto"/>
        <w:ind w:left="4820" w:hanging="1276"/>
        <w:contextualSpacing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   антимонопольного комплаенса в        Департаменте здравоохранения    Чукотского автономного округа                   </w:t>
      </w:r>
    </w:p>
    <w:p w14:paraId="731065CE">
      <w:pPr>
        <w:spacing w:after="160" w:line="240" w:lineRule="auto"/>
        <w:contextualSpacing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ab/>
      </w:r>
      <w:r>
        <w:rPr>
          <w:rFonts w:ascii="Times New Roman" w:hAnsi="Times New Roman" w:eastAsia="Calibri" w:cs="Times New Roman"/>
          <w:sz w:val="26"/>
          <w:szCs w:val="26"/>
        </w:rPr>
        <w:tab/>
      </w:r>
      <w:r>
        <w:rPr>
          <w:rFonts w:ascii="Times New Roman" w:hAnsi="Times New Roman" w:eastAsia="Calibri" w:cs="Times New Roman"/>
          <w:sz w:val="26"/>
          <w:szCs w:val="26"/>
        </w:rPr>
        <w:tab/>
      </w:r>
      <w:r>
        <w:rPr>
          <w:rFonts w:ascii="Times New Roman" w:hAnsi="Times New Roman" w:eastAsia="Calibri" w:cs="Times New Roman"/>
          <w:sz w:val="26"/>
          <w:szCs w:val="26"/>
        </w:rPr>
        <w:tab/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от 26.</w:t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12</w:t>
      </w:r>
      <w:r>
        <w:rPr>
          <w:rFonts w:ascii="Times New Roman" w:hAnsi="Times New Roman" w:eastAsia="Calibri" w:cs="Times New Roman"/>
          <w:sz w:val="26"/>
          <w:szCs w:val="26"/>
        </w:rPr>
        <w:t>.202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 года № 1</w:t>
      </w:r>
    </w:p>
    <w:p w14:paraId="547380CB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411C5D4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4DB6CB89">
      <w:pPr>
        <w:spacing w:after="16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Доклад</w:t>
      </w:r>
    </w:p>
    <w:p w14:paraId="2FFF9A58">
      <w:pPr>
        <w:spacing w:after="16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об антимонопольном комплаенсе в Департаменте здравоохранения Чукотского автономного округа за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год</w:t>
      </w:r>
    </w:p>
    <w:p w14:paraId="72EA4DD8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79B3902">
      <w:pPr>
        <w:spacing w:after="160" w:line="240" w:lineRule="auto"/>
        <w:ind w:firstLine="851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1.Общие положения.</w:t>
      </w:r>
    </w:p>
    <w:p w14:paraId="5C78BB9C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соответствии с подпунктом «е» пункта 2 Национального плана развития конкуренции в Российской Федерации на 2018 - 2020 годы, утвержденного Указом Президента Российской Федерации от 21 декабря 2017 года № 618 «Об основных направлениях государственной политики по развитию конкуренции», руководствуясь Распоряжением Правительства  Российской Федерации от l8 октября 2018 года № 2258-р, а также в целя реализации Распоряжения Губернатора Чукотского автономного округа от 18 февраля 2019 года № 73-рг «О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Чукотского автономного округа, в соответствии с положением об организации системы внутреннего обеспечения соответствия требованиям антимонопольного законодательства в Департаменте здравоохранения Чукотского автономного округа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  <w:footnoteReference w:id="0"/>
      </w:r>
      <w:r>
        <w:rPr>
          <w:rFonts w:ascii="Times New Roman" w:hAnsi="Times New Roman" w:eastAsia="Calibri" w:cs="Times New Roman"/>
          <w:sz w:val="28"/>
          <w:szCs w:val="28"/>
        </w:rPr>
        <w:t>, утвержденным приказом Департамента создана система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179CDB70">
      <w:pPr>
        <w:spacing w:after="16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Приказ Департамента от 17 февраля 2022 года № 88 «О системе внутреннего обеспечения соответствия требованиям антимонопольного законодательства в Департаменте здравоохранения Чукотского автономного округа» в соответствии с которым в Департаменте реализуется антимонопольный комплаенс, приказ от 2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01</w:t>
      </w:r>
      <w:r>
        <w:rPr>
          <w:rFonts w:ascii="Times New Roman" w:hAnsi="Times New Roman" w:eastAsia="Calibri" w:cs="Times New Roman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45</w:t>
      </w:r>
      <w:r>
        <w:rPr>
          <w:rFonts w:ascii="Times New Roman" w:hAnsi="Times New Roman" w:eastAsia="Calibri" w:cs="Times New Roman"/>
          <w:sz w:val="28"/>
          <w:szCs w:val="28"/>
        </w:rPr>
        <w:t xml:space="preserve"> «Об утверждении плана мероприятий («дорожная карта») по снижению рисков нарушения антимонопольного законодательства Чукотского автономного округа на 202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год» разработаны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 требованиям тимонопольного законодательства, утверждёнными распоряжением Правительства Российской Федерации от 18 октября 2018 года № 2258-р. </w:t>
      </w:r>
    </w:p>
    <w:p w14:paraId="0E2540FA">
      <w:pPr>
        <w:spacing w:after="16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Департаменте, утвержденным приказом Департамента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17</w:t>
      </w:r>
      <w:r>
        <w:rPr>
          <w:rFonts w:ascii="Times New Roman" w:hAnsi="Times New Roman" w:eastAsia="Calibri" w:cs="Times New Roman"/>
          <w:sz w:val="28"/>
          <w:szCs w:val="28"/>
        </w:rPr>
        <w:t>.0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>.20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22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88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функции уполномоченного подразделения, ответственного за организацию и функционирование системы внутреннего обеспечения соответствия требованиям антимонопольного законодательства в Департаменте возложены на отдел административной, правовой и кадровой работы Департамента. </w:t>
      </w:r>
    </w:p>
    <w:p w14:paraId="544E5AD4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2. Информация о проведенных мероприятиях по внедрению антимонопольного комплаенса в Департаменте.</w:t>
      </w:r>
    </w:p>
    <w:p w14:paraId="572714AE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 целях выявления и оценки рисков нарушения антимонопольного законодательства уполномоченным подразделением проводились мероприятия по внедрению антимонопольного комплаенса:</w:t>
      </w:r>
    </w:p>
    <w:p w14:paraId="6E00BC5F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разработка, согласование и внедрение правовых актов Департамента, обеспечивающих развитие и функционирование антимонопольного комплаенса в Департаменте;</w:t>
      </w:r>
    </w:p>
    <w:p w14:paraId="5B89A72D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координация и методологическое обеспечение мероприятий антимонопольного комплаенса в Департаменте;</w:t>
      </w:r>
    </w:p>
    <w:p w14:paraId="658F0767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контроль за функционированием антимонопольного комплаенса в Департаменте;</w:t>
      </w:r>
    </w:p>
    <w:p w14:paraId="33D3897B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выявление рисков нарушения антимонопольного законодательства в деятельности Департамента;</w:t>
      </w:r>
    </w:p>
    <w:p w14:paraId="1B7465F5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инициирование мероприятий по минимизации рисков нарушения антимонопольного законодательства в Департаменте;</w:t>
      </w:r>
    </w:p>
    <w:p w14:paraId="115B4FAA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информирование должностных лиц Департамента, в зоне ответственности которых имеются соответствующие антимонопольные риски, и руководителя Департамента о выявленных рисках;</w:t>
      </w:r>
    </w:p>
    <w:p w14:paraId="6A6E9B62">
      <w:pPr>
        <w:spacing w:after="160" w:line="240" w:lineRule="auto"/>
        <w:ind w:firstLine="708" w:firstLineChars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организация взаимодействия с другими подразделениями Департамента по вопросам реализации антимонопольного комплаенса в Департаменте.</w:t>
      </w:r>
    </w:p>
    <w:p w14:paraId="4C0DDF98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На официальном сайте Чукотского автономного округа (</w:t>
      </w:r>
      <w:r>
        <w:fldChar w:fldCharType="begin"/>
      </w:r>
      <w:r>
        <w:instrText xml:space="preserve"> HYPERLINK "http://чукотка.рф" </w:instrText>
      </w:r>
      <w:r>
        <w:fldChar w:fldCharType="separate"/>
      </w:r>
      <w:r>
        <w:rPr>
          <w:rFonts w:ascii="Times New Roman" w:hAnsi="Times New Roman" w:eastAsia="Calibri" w:cs="Times New Roman"/>
          <w:color w:val="0563C1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eastAsia="Calibri" w:cs="Times New Roman"/>
          <w:color w:val="0563C1"/>
          <w:sz w:val="26"/>
          <w:szCs w:val="26"/>
          <w:u w:val="single"/>
        </w:rPr>
        <w:t>://чукотка.рф</w:t>
      </w:r>
      <w:r>
        <w:rPr>
          <w:rFonts w:ascii="Times New Roman" w:hAnsi="Times New Roman" w:eastAsia="Calibri" w:cs="Times New Roman"/>
          <w:color w:val="0563C1"/>
          <w:sz w:val="26"/>
          <w:szCs w:val="26"/>
          <w:u w:val="single"/>
        </w:rPr>
        <w:fldChar w:fldCharType="end"/>
      </w:r>
      <w:r>
        <w:rPr>
          <w:rFonts w:ascii="Times New Roman" w:hAnsi="Times New Roman" w:eastAsia="Calibri" w:cs="Times New Roman"/>
          <w:sz w:val="26"/>
          <w:szCs w:val="26"/>
        </w:rPr>
        <w:t>) в информационном разделе Департамента разработан и размещен раздел «Антимонопольный комплаенс», в котором размещаются нормативные правовые акты, реализация которых связана с соблюдением антимонопольного законодательства, доклад об антимонопольном комплаенсе, проекты нормативных правовых актов Департамента, относящихся к деятельности Департамента, и реализация которых связана с соблюдением антимонопольного законодательства, опубликовано уведомление для граждан и организаций о начале сбора замечаний и предложений по вопросам наличия нарушений антимонопольного законодательства.</w:t>
      </w:r>
    </w:p>
    <w:p w14:paraId="3B7C45C2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2.1. Анализ выявленных нарушений антимонопольного законодательства в деятельности Департамента.</w:t>
      </w:r>
    </w:p>
    <w:p w14:paraId="63F72B06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целях реализации пункта 3.2. Положения об организации системы внутреннего обеспечении соответствия требованиям антимонопольного законодательства, в Департаменте уполномоченным подразделением проведен сбор и анализ информации о наличии нарушений антимонопольного законодательства в деятельности Департамента. </w:t>
      </w:r>
    </w:p>
    <w:p w14:paraId="0A7D644A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По результатам проведенного анализа установлено следующее:</w:t>
      </w:r>
    </w:p>
    <w:p w14:paraId="15740CB0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рассмотрения дел по вопросам применения и возможного нарушения </w:t>
      </w:r>
    </w:p>
    <w:p w14:paraId="5CBE813A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Департаментом норм антимонопольного законодательства в судебных инстанциях не осуществлялось;</w:t>
      </w:r>
    </w:p>
    <w:p w14:paraId="35BCAF11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нормативные правовые акты Департамента, в которых Управлением федеральной антимонопольной службы Российской Федерации по Чукотскому автономному округу выявлены нарушения антимонопольного законодательства в указанный период в Департаменте отсутствуют;</w:t>
      </w:r>
    </w:p>
    <w:p w14:paraId="70687FC2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нарушения законодательства в сфере закупок товаров, работ, услуг для обеспечения государственных и муниципальных нужд не выявлены.</w:t>
      </w:r>
    </w:p>
    <w:p w14:paraId="012644F2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3.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в Департаменте.</w:t>
      </w:r>
    </w:p>
    <w:p w14:paraId="62FF2F37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 целях выявления рисков нарушения антимонопольного законодательства уполномоченным подразделением осуществлен ряд мероприятий, предусмотренных Положением об антимонопольном комплаенсе а именно:</w:t>
      </w:r>
    </w:p>
    <w:p w14:paraId="6D9345EA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запрошены предложения от структурных подразделений Департамента о наиболее вероятных нарушениях антимонопольного законодательства со стороны Департамента;</w:t>
      </w:r>
    </w:p>
    <w:p w14:paraId="1F632290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проведена оценка поступивших предложений от структурных подразделений Департамента с учетом ряда показателей (отрицательное влияние на отношение института гражданского общества к деятельности Департамента по развитию конкуренции: выдача предупреждения о прекращении действий (бездействия), которые содержат признаки нарушения антимонопольного законодательства; возбуждение дела о нарушении антимонопольного законодательства; привлечение к административной ответственности в виде наложения штрафов на должностных лиц Департамента или в виде дисквалификации;</w:t>
      </w:r>
    </w:p>
    <w:p w14:paraId="1FCF677A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проведены рабочие совещания с уполномоченным структурным подразделением с целью обсуждения и анализа результатов проводимой работы по выявлению комплаенс - рисков.</w:t>
      </w:r>
    </w:p>
    <w:p w14:paraId="2B6B0E36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По результатам проведения оценки рисков нарушения антимонопольного законодательства в Департаменте, приказом от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2</w:t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4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января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25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 № </w:t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43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утверждены карты рисков нарушений антимонопольного законодательства, приказом от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24 января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25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 №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44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утверждены ключевые показатели эффективности функционирования антимонопольного комплаенса и методика расчета ключевых показателей в Департаменте.</w:t>
      </w:r>
    </w:p>
    <w:p w14:paraId="6D290201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4. Мероприятия по снижению рисков нарушения антимонопольного законодательства.</w:t>
      </w:r>
    </w:p>
    <w:p w14:paraId="4992E496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С целью повышения квалификации сотрудников Департамента в сфере антимонопольного законодательства проведено рабочее совещание по вопросу механизма проведения анализа проектов нормативных правовых актов Департамента на предмет соответствия их антимонопольному законодательству, а так же с целью ознакомления структурных подразделений Департамента с возможными рисками нарушения антимонопольного законодательства.</w:t>
      </w:r>
    </w:p>
    <w:p w14:paraId="7CDC0843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 целях исключения положений, противоречащих нормам антимонопольного законодательства на стадии разработки проектов нормативных правовых актов, договоров, соглашений, уполномоченным подразделением  проводится экспертиза перечисленных актов, подготовленных структурными подразделениями Департамента.</w:t>
      </w:r>
    </w:p>
    <w:p w14:paraId="0D830B5D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5. Оценка эффективности функционирования антимонопольного комплаенса в Департаменте.</w:t>
      </w:r>
    </w:p>
    <w:p w14:paraId="4D369256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Ключевыми показателями эффективности антимонопольного комплаенса в Департаменте являются:</w:t>
      </w:r>
    </w:p>
    <w:p w14:paraId="026CB40A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1. Коэффициент снижения количества нарушений антимонопольного законодательства со стороны Департамента по сравнению с предыдущим годом.</w:t>
      </w:r>
    </w:p>
    <w:p w14:paraId="0F8C23F1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2. Доля проектов правовых актов Департамента, в которых выявлены риски нарушения антимонопольного законодательства.</w:t>
      </w:r>
    </w:p>
    <w:p w14:paraId="7BAE2FDC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3. Доля правовых актов Департамента, в которых выявлены риски нарушения антимонопольного законодательства.</w:t>
      </w:r>
    </w:p>
    <w:p w14:paraId="23BFA695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4. Доля сотрудников Департамента,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51C995CD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Выводы:</w:t>
      </w:r>
    </w:p>
    <w:p w14:paraId="1B2A5459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 настоящее время в Департаменте осуществлено внедрение системы внутреннего обеспечения соответствия требованиям антимонопольного законодательства.</w:t>
      </w:r>
    </w:p>
    <w:p w14:paraId="289D0BCF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Разработаны нормативные акты в сфере антимонопольного комплаенса. </w:t>
      </w:r>
    </w:p>
    <w:p w14:paraId="4BC3872C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Внедрено взаимодействие структурных подразделений Департамента по вопросам организации системы внутреннего обеспечения соответствия требованиям антимонопольного законодательства и внедрения антимонопольного комплаенса. </w:t>
      </w:r>
    </w:p>
    <w:p w14:paraId="2412E891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Осуществлено ознакомление работников Департамента с антимонопольным комплаенсом. </w:t>
      </w:r>
    </w:p>
    <w:p w14:paraId="55775C98">
      <w:pPr>
        <w:spacing w:after="160" w:line="240" w:lineRule="auto"/>
        <w:ind w:firstLine="851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Проведена оценка рисков нарушения антимонопольного законодательства, по результатам которой составлена карта рисков нарушений антимонопольного законодательства.</w:t>
      </w:r>
    </w:p>
    <w:p w14:paraId="15B80832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59114E48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13CC1CB8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3DFBA2AB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Исполняющий обязанности</w:t>
      </w:r>
    </w:p>
    <w:p w14:paraId="07D3DF2C">
      <w:pPr>
        <w:spacing w:after="160" w:line="240" w:lineRule="auto"/>
        <w:contextualSpacing/>
        <w:jc w:val="both"/>
        <w:rPr>
          <w:rFonts w:hint="default" w:ascii="Times New Roman" w:hAnsi="Times New Roman" w:eastAsia="Calibri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начальника  Департамента                                                                 </w:t>
      </w:r>
      <w:r>
        <w:rPr>
          <w:rFonts w:ascii="Times New Roman" w:hAnsi="Times New Roman" w:eastAsia="Calibri" w:cs="Times New Roman"/>
          <w:b/>
          <w:sz w:val="26"/>
          <w:szCs w:val="26"/>
          <w:lang w:val="ru-RU"/>
        </w:rPr>
        <w:t>Т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ru-RU"/>
        </w:rPr>
        <w:t>.Ю. Радович</w:t>
      </w:r>
      <w:bookmarkStart w:id="0" w:name="_GoBack"/>
      <w:bookmarkEnd w:id="0"/>
    </w:p>
    <w:p w14:paraId="7B92CA4B"/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3FD737AF">
      <w:pPr>
        <w:pStyle w:val="6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Далее – «Департамент».</w:t>
      </w:r>
    </w:p>
  </w:footnote>
  <w:footnote w:id="1">
    <w:p w14:paraId="25259184">
      <w:pPr>
        <w:pStyle w:val="6"/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Далее – «Антимонопольный комплаенс».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A7"/>
    <w:rsid w:val="00065CA7"/>
    <w:rsid w:val="001C1078"/>
    <w:rsid w:val="00270022"/>
    <w:rsid w:val="002F6A7C"/>
    <w:rsid w:val="004F2C0A"/>
    <w:rsid w:val="0086155A"/>
    <w:rsid w:val="009174A5"/>
    <w:rsid w:val="009A1EFC"/>
    <w:rsid w:val="00B52D99"/>
    <w:rsid w:val="00C62BF1"/>
    <w:rsid w:val="00E60058"/>
    <w:rsid w:val="1E27677B"/>
    <w:rsid w:val="214767BC"/>
    <w:rsid w:val="49BB14CE"/>
    <w:rsid w:val="598E3B83"/>
    <w:rsid w:val="718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note text"/>
    <w:basedOn w:val="1"/>
    <w:link w:val="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7">
    <w:name w:val="Текст сноски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CCRIB</Company>
  <Pages>4</Pages>
  <Words>1426</Words>
  <Characters>8130</Characters>
  <Lines>67</Lines>
  <Paragraphs>19</Paragraphs>
  <TotalTime>32</TotalTime>
  <ScaleCrop>false</ScaleCrop>
  <LinksUpToDate>false</LinksUpToDate>
  <CharactersWithSpaces>9537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2024-07-18T23:35:00Z</dcterms:created>
  <dc:creator>org4</dc:creator>
  <cp:lastModifiedBy>WPS_1740430988</cp:lastModifiedBy>
  <cp:lastPrinted>2024-07-22T21:13:00Z</cp:lastPrinted>
  <dcterms:modified xsi:type="dcterms:W3CDTF">2025-12-28T21:51:11Z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4AFB96BE1B3842339625C738DB0AC5F1_13</vt:lpwstr>
  </property>
</Properties>
</file>