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0CA1" w:rsidRPr="009E1D56" w:rsidTr="00F32329">
        <w:tc>
          <w:tcPr>
            <w:tcW w:w="4785" w:type="dxa"/>
            <w:shd w:val="clear" w:color="auto" w:fill="auto"/>
          </w:tcPr>
          <w:p w:rsidR="00E70CA1" w:rsidRPr="00044DB4" w:rsidRDefault="00E70CA1" w:rsidP="008B02AE">
            <w:pPr>
              <w:jc w:val="right"/>
              <w:textAlignment w:val="baseline"/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786" w:type="dxa"/>
            <w:shd w:val="clear" w:color="auto" w:fill="auto"/>
          </w:tcPr>
          <w:p w:rsidR="00E70CA1" w:rsidRPr="00044DB4" w:rsidRDefault="00E70CA1" w:rsidP="008B02AE">
            <w:pPr>
              <w:shd w:val="clear" w:color="auto" w:fill="FFFFFF"/>
              <w:jc w:val="both"/>
              <w:textAlignment w:val="baseline"/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</w:pPr>
            <w:r w:rsidRPr="00044DB4"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  <w:t>Утвержден</w:t>
            </w:r>
          </w:p>
          <w:p w:rsidR="00E70CA1" w:rsidRPr="00044DB4" w:rsidRDefault="00E70CA1" w:rsidP="008B02AE">
            <w:pPr>
              <w:shd w:val="clear" w:color="auto" w:fill="FFFFFF"/>
              <w:jc w:val="both"/>
              <w:textAlignment w:val="baseline"/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</w:pPr>
            <w:r w:rsidRPr="00044DB4"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  <w:t xml:space="preserve">протоколом </w:t>
            </w:r>
            <w:r w:rsidR="00DD3341" w:rsidRPr="00DD3341"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  <w:t>Комиссии по оценке эффективности организации и функционирования антимонопольного комплаенса в Департаменте образования и науки Чукотского автономного округа</w:t>
            </w:r>
          </w:p>
          <w:p w:rsidR="00E70CA1" w:rsidRPr="00044DB4" w:rsidRDefault="00E70CA1" w:rsidP="000A219A">
            <w:pPr>
              <w:shd w:val="clear" w:color="auto" w:fill="FFFFFF"/>
              <w:ind w:firstLine="35"/>
              <w:jc w:val="both"/>
              <w:textAlignment w:val="baseline"/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</w:pPr>
            <w:r w:rsidRPr="00044DB4"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  <w:t xml:space="preserve">№ 1 от </w:t>
            </w:r>
            <w:r w:rsidR="00441580"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  <w:t>1</w:t>
            </w:r>
            <w:r w:rsidR="000A219A"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  <w:t>7</w:t>
            </w:r>
            <w:r w:rsidR="00441580"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  <w:t>.01</w:t>
            </w:r>
            <w:r w:rsidRPr="00044DB4"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  <w:t>.202</w:t>
            </w:r>
            <w:r w:rsidR="00441580">
              <w:rPr>
                <w:bCs/>
                <w:color w:val="222222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</w:tbl>
    <w:p w:rsidR="00E70CA1" w:rsidRDefault="00E70CA1" w:rsidP="008B02AE">
      <w:pPr>
        <w:shd w:val="clear" w:color="auto" w:fill="FFFFFF"/>
        <w:ind w:firstLine="284"/>
        <w:jc w:val="right"/>
        <w:textAlignment w:val="baseline"/>
        <w:rPr>
          <w:b/>
          <w:bCs/>
          <w:color w:val="222222"/>
          <w:sz w:val="26"/>
          <w:szCs w:val="26"/>
          <w:bdr w:val="none" w:sz="0" w:space="0" w:color="auto" w:frame="1"/>
        </w:rPr>
      </w:pPr>
    </w:p>
    <w:p w:rsidR="00E70CA1" w:rsidRPr="008C64A8" w:rsidRDefault="00E70CA1" w:rsidP="008B02AE">
      <w:pPr>
        <w:shd w:val="clear" w:color="auto" w:fill="FFFFFF"/>
        <w:ind w:firstLine="284"/>
        <w:jc w:val="center"/>
        <w:textAlignment w:val="baseline"/>
        <w:rPr>
          <w:color w:val="222222"/>
          <w:sz w:val="26"/>
          <w:szCs w:val="26"/>
        </w:rPr>
      </w:pPr>
      <w:r w:rsidRPr="008C64A8">
        <w:rPr>
          <w:b/>
          <w:bCs/>
          <w:color w:val="222222"/>
          <w:sz w:val="26"/>
          <w:szCs w:val="26"/>
          <w:bdr w:val="none" w:sz="0" w:space="0" w:color="auto" w:frame="1"/>
        </w:rPr>
        <w:t>Доклад</w:t>
      </w:r>
    </w:p>
    <w:p w:rsidR="00E70CA1" w:rsidRPr="008C64A8" w:rsidRDefault="00DD3341" w:rsidP="008B02AE">
      <w:pPr>
        <w:shd w:val="clear" w:color="auto" w:fill="FFFFFF"/>
        <w:ind w:firstLine="284"/>
        <w:jc w:val="center"/>
        <w:textAlignment w:val="baseline"/>
        <w:rPr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  <w:bdr w:val="none" w:sz="0" w:space="0" w:color="auto" w:frame="1"/>
        </w:rPr>
        <w:t xml:space="preserve">об организации </w:t>
      </w:r>
      <w:r w:rsidRPr="00DD3341">
        <w:rPr>
          <w:b/>
          <w:bCs/>
          <w:color w:val="222222"/>
          <w:sz w:val="26"/>
          <w:szCs w:val="26"/>
          <w:bdr w:val="none" w:sz="0" w:space="0" w:color="auto" w:frame="1"/>
        </w:rPr>
        <w:t xml:space="preserve">внутреннего обеспечения соответствия требованиям антимонопольного законодательства в Департаменте образования и науки Чукотского автономного округа </w:t>
      </w:r>
      <w:r w:rsidR="00E70CA1" w:rsidRPr="008C64A8">
        <w:rPr>
          <w:b/>
          <w:bCs/>
          <w:color w:val="222222"/>
          <w:sz w:val="26"/>
          <w:szCs w:val="26"/>
          <w:bdr w:val="none" w:sz="0" w:space="0" w:color="auto" w:frame="1"/>
        </w:rPr>
        <w:t>за 20</w:t>
      </w:r>
      <w:r w:rsidR="00E70CA1">
        <w:rPr>
          <w:b/>
          <w:bCs/>
          <w:color w:val="222222"/>
          <w:sz w:val="26"/>
          <w:szCs w:val="26"/>
          <w:bdr w:val="none" w:sz="0" w:space="0" w:color="auto" w:frame="1"/>
        </w:rPr>
        <w:t>2</w:t>
      </w:r>
      <w:r w:rsidR="00441580">
        <w:rPr>
          <w:b/>
          <w:bCs/>
          <w:color w:val="222222"/>
          <w:sz w:val="26"/>
          <w:szCs w:val="26"/>
          <w:bdr w:val="none" w:sz="0" w:space="0" w:color="auto" w:frame="1"/>
        </w:rPr>
        <w:t>4</w:t>
      </w:r>
      <w:r w:rsidR="00E70CA1" w:rsidRPr="008C64A8">
        <w:rPr>
          <w:b/>
          <w:bCs/>
          <w:color w:val="222222"/>
          <w:sz w:val="26"/>
          <w:szCs w:val="26"/>
          <w:bdr w:val="none" w:sz="0" w:space="0" w:color="auto" w:frame="1"/>
        </w:rPr>
        <w:t xml:space="preserve"> год</w:t>
      </w:r>
    </w:p>
    <w:p w:rsidR="00E70CA1" w:rsidRDefault="00E70CA1" w:rsidP="008B02AE">
      <w:pPr>
        <w:shd w:val="clear" w:color="auto" w:fill="FFFFFF"/>
        <w:ind w:left="1260" w:hanging="360"/>
        <w:jc w:val="both"/>
        <w:textAlignment w:val="baseline"/>
        <w:rPr>
          <w:b/>
          <w:bCs/>
          <w:color w:val="222222"/>
          <w:sz w:val="26"/>
          <w:szCs w:val="26"/>
          <w:bdr w:val="none" w:sz="0" w:space="0" w:color="auto" w:frame="1"/>
        </w:rPr>
      </w:pPr>
    </w:p>
    <w:p w:rsidR="00E70CA1" w:rsidRDefault="009B2160" w:rsidP="009B2160">
      <w:pPr>
        <w:pStyle w:val="1"/>
        <w:spacing w:line="240" w:lineRule="auto"/>
        <w:jc w:val="center"/>
        <w:rPr>
          <w:b/>
        </w:rPr>
      </w:pPr>
      <w:r w:rsidRPr="009B2160">
        <w:rPr>
          <w:b/>
        </w:rPr>
        <w:t>1.</w:t>
      </w:r>
      <w:r>
        <w:rPr>
          <w:b/>
        </w:rPr>
        <w:t xml:space="preserve"> </w:t>
      </w:r>
      <w:r w:rsidR="0062090C">
        <w:rPr>
          <w:b/>
        </w:rPr>
        <w:t>Общие положения</w:t>
      </w:r>
    </w:p>
    <w:p w:rsidR="0062090C" w:rsidRPr="00F61BF9" w:rsidRDefault="0062090C" w:rsidP="008B02AE">
      <w:pPr>
        <w:pStyle w:val="1"/>
        <w:spacing w:line="240" w:lineRule="auto"/>
        <w:jc w:val="center"/>
        <w:rPr>
          <w:b/>
        </w:rPr>
      </w:pPr>
    </w:p>
    <w:p w:rsidR="00E70CA1" w:rsidRPr="00F40DE9" w:rsidRDefault="003C07D7" w:rsidP="008B02AE">
      <w:pPr>
        <w:pStyle w:val="1"/>
        <w:spacing w:line="240" w:lineRule="auto"/>
        <w:ind w:firstLine="709"/>
      </w:pPr>
      <w:r>
        <w:t xml:space="preserve">Во исполнение </w:t>
      </w:r>
      <w:hyperlink r:id="rId7" w:history="1">
        <w:r w:rsidR="00E70CA1" w:rsidRPr="00E70CA1">
          <w:rPr>
            <w:rStyle w:val="a6"/>
            <w:color w:val="auto"/>
            <w:u w:val="none"/>
          </w:rPr>
          <w:t>Указ</w:t>
        </w:r>
      </w:hyperlink>
      <w:r>
        <w:rPr>
          <w:rStyle w:val="a6"/>
          <w:color w:val="auto"/>
          <w:u w:val="none"/>
        </w:rPr>
        <w:t>а</w:t>
      </w:r>
      <w:r w:rsidR="00E70CA1" w:rsidRPr="00E70CA1">
        <w:t xml:space="preserve"> Президента Р</w:t>
      </w:r>
      <w:r>
        <w:t xml:space="preserve">оссийской Федерации </w:t>
      </w:r>
      <w:r w:rsidR="00E70CA1" w:rsidRPr="00E70CA1">
        <w:t>от 21 декабря 2017 г</w:t>
      </w:r>
      <w:r>
        <w:t xml:space="preserve">. </w:t>
      </w:r>
      <w:r w:rsidR="00E70CA1" w:rsidRPr="00E70CA1">
        <w:t xml:space="preserve">№ 618 «Об основных направлениях государственной политики по развитию конкуренции», </w:t>
      </w:r>
      <w:r w:rsidR="00E70CA1" w:rsidRPr="00F61BF9">
        <w:t>Распоряжени</w:t>
      </w:r>
      <w:r>
        <w:t>я</w:t>
      </w:r>
      <w:r w:rsidR="00E70CA1" w:rsidRPr="00F61BF9">
        <w:t xml:space="preserve"> Правительства Российской Федерации от 18 октября 2018 года № 2258-р, а также в целях реализации Распоряжения Губернатора Чукотского автономного округа от </w:t>
      </w:r>
      <w:r>
        <w:t xml:space="preserve">           </w:t>
      </w:r>
      <w:r w:rsidR="00E70CA1" w:rsidRPr="00F61BF9">
        <w:t>18 февраля 2019 г</w:t>
      </w:r>
      <w:r>
        <w:t>.</w:t>
      </w:r>
      <w:r w:rsidR="00E70CA1" w:rsidRPr="00F61BF9">
        <w:t xml:space="preserve"> № 73-рг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Чукотского автономного округа», в соответствии с </w:t>
      </w:r>
      <w:r w:rsidR="00E70CA1" w:rsidRPr="00F40DE9">
        <w:t xml:space="preserve">Положением </w:t>
      </w:r>
      <w:r w:rsidRPr="00F40DE9">
        <w:t>о системе внутреннего обеспечения соответствия требованиям антимонопольного законодательства в Департаменте образования и науки Чукотского автономного округа</w:t>
      </w:r>
      <w:r w:rsidR="00E70CA1" w:rsidRPr="00F40DE9">
        <w:t>, утвержденным приказом Департамента образования</w:t>
      </w:r>
      <w:r w:rsidRPr="00F40DE9">
        <w:t xml:space="preserve"> и науки</w:t>
      </w:r>
      <w:r w:rsidR="00E70CA1" w:rsidRPr="00F40DE9">
        <w:t xml:space="preserve"> Чукотского автономного округа от </w:t>
      </w:r>
      <w:r w:rsidRPr="00F40DE9">
        <w:t>30.12.2021</w:t>
      </w:r>
      <w:r w:rsidR="00E70CA1" w:rsidRPr="00F40DE9">
        <w:t xml:space="preserve"> № 01-21/</w:t>
      </w:r>
      <w:r w:rsidR="00220BFC" w:rsidRPr="00F40DE9">
        <w:t>690</w:t>
      </w:r>
      <w:r w:rsidR="00E70CA1" w:rsidRPr="00F40DE9">
        <w:t xml:space="preserve">, в Департаменте образования и науки Чукотского автономного округа (далее </w:t>
      </w:r>
      <w:r w:rsidRPr="00F40DE9">
        <w:t xml:space="preserve">- </w:t>
      </w:r>
      <w:r w:rsidR="00E70CA1" w:rsidRPr="00F40DE9">
        <w:t xml:space="preserve">Департамент) создана система внутреннего обеспечения соответствия требованиям антимонопольного законодательства (далее- антимонопольный комплаенс). </w:t>
      </w:r>
    </w:p>
    <w:p w:rsidR="00E70CA1" w:rsidRPr="00F40DE9" w:rsidRDefault="00E70CA1" w:rsidP="008B02AE">
      <w:pPr>
        <w:pStyle w:val="1"/>
        <w:spacing w:line="240" w:lineRule="auto"/>
        <w:ind w:firstLine="709"/>
      </w:pPr>
      <w:r w:rsidRPr="00F40DE9">
        <w:t xml:space="preserve">В соответствии с Положением </w:t>
      </w:r>
      <w:r w:rsidR="003C07D7" w:rsidRPr="00F40DE9">
        <w:t>о системе внутреннего обеспечения соответствия требованиям антимонопольного законодательства в Департаменте</w:t>
      </w:r>
      <w:r w:rsidRPr="00F40DE9">
        <w:t xml:space="preserve">, функции уполномоченного подразделения, ответственного за организацию и функционирование системы внутреннего обеспечения соответствия требованиям антимонопольного законодательства в Департаменте возложены на </w:t>
      </w:r>
      <w:r w:rsidR="003C07D7" w:rsidRPr="00F40DE9">
        <w:t>отдел правовой, кадровой работы и государственной службы Управления аналитической, правовой и кадровой работы Департамента</w:t>
      </w:r>
      <w:r w:rsidRPr="00F40DE9">
        <w:t>.</w:t>
      </w:r>
    </w:p>
    <w:p w:rsidR="00E70CA1" w:rsidRPr="00F40DE9" w:rsidRDefault="00E70CA1" w:rsidP="008B02AE">
      <w:pPr>
        <w:pStyle w:val="1"/>
        <w:spacing w:line="240" w:lineRule="auto"/>
        <w:ind w:firstLine="709"/>
      </w:pPr>
      <w:r w:rsidRPr="00F40DE9">
        <w:t>С целью осуществления оценки эффективности организации и функционирования в Департаменте антимонопольного комплаенса</w:t>
      </w:r>
      <w:r w:rsidR="00285B7B" w:rsidRPr="00F40DE9">
        <w:t xml:space="preserve"> приказом Департамента от 30.12.2021                              № 01-21/</w:t>
      </w:r>
      <w:r w:rsidR="00220BFC" w:rsidRPr="00F40DE9">
        <w:t>691</w:t>
      </w:r>
      <w:r w:rsidRPr="00F40DE9">
        <w:t xml:space="preserve"> создан Коллегиальный орган –</w:t>
      </w:r>
      <w:r w:rsidR="005C467F" w:rsidRPr="00F40DE9">
        <w:t xml:space="preserve"> Комиссия</w:t>
      </w:r>
      <w:r w:rsidRPr="00F40DE9">
        <w:t xml:space="preserve"> </w:t>
      </w:r>
      <w:r w:rsidR="005C467F" w:rsidRPr="00F40DE9">
        <w:t>по оценке эффективности организации и функционирования антимонопольного комплаенса в Департаменте</w:t>
      </w:r>
      <w:r w:rsidRPr="00F40DE9">
        <w:t xml:space="preserve"> (далее</w:t>
      </w:r>
      <w:r w:rsidR="005C467F" w:rsidRPr="00F40DE9">
        <w:t xml:space="preserve"> – </w:t>
      </w:r>
      <w:r w:rsidRPr="00F40DE9">
        <w:t>Комиссия).</w:t>
      </w:r>
      <w:r w:rsidR="005C467F" w:rsidRPr="00F40DE9">
        <w:t xml:space="preserve"> </w:t>
      </w:r>
    </w:p>
    <w:p w:rsidR="00285B7B" w:rsidRPr="00F61BF9" w:rsidRDefault="00285B7B" w:rsidP="008B02AE">
      <w:pPr>
        <w:pStyle w:val="1"/>
        <w:spacing w:line="240" w:lineRule="auto"/>
        <w:ind w:firstLine="709"/>
      </w:pPr>
    </w:p>
    <w:p w:rsidR="00E70CA1" w:rsidRDefault="00E70CA1" w:rsidP="00923A2F">
      <w:pPr>
        <w:pStyle w:val="1"/>
        <w:spacing w:line="240" w:lineRule="auto"/>
        <w:jc w:val="center"/>
        <w:rPr>
          <w:b/>
        </w:rPr>
      </w:pPr>
      <w:r w:rsidRPr="008C5E8C">
        <w:rPr>
          <w:b/>
        </w:rPr>
        <w:t xml:space="preserve">2. </w:t>
      </w:r>
      <w:r w:rsidRPr="00E72051">
        <w:rPr>
          <w:b/>
        </w:rPr>
        <w:t xml:space="preserve">Анализ выявленных нарушений антимонопольного законодательства в деятельности Департамента образования и науки Чукотского автономного округа </w:t>
      </w:r>
    </w:p>
    <w:p w:rsidR="00923A2F" w:rsidRPr="00E72051" w:rsidRDefault="00923A2F" w:rsidP="00923A2F">
      <w:pPr>
        <w:pStyle w:val="1"/>
        <w:spacing w:line="240" w:lineRule="auto"/>
        <w:jc w:val="center"/>
        <w:rPr>
          <w:b/>
        </w:rPr>
      </w:pPr>
    </w:p>
    <w:p w:rsidR="00B31BD0" w:rsidRDefault="00B31BD0" w:rsidP="00B31BD0">
      <w:pPr>
        <w:pStyle w:val="1"/>
        <w:spacing w:line="240" w:lineRule="auto"/>
        <w:ind w:firstLine="709"/>
      </w:pPr>
      <w:r>
        <w:t>В</w:t>
      </w:r>
      <w:r w:rsidRPr="00B31BD0">
        <w:t xml:space="preserve"> целях выявления рисков нарушения антимонопольного законодательства </w:t>
      </w:r>
      <w:r w:rsidR="00EE571F">
        <w:t>в                   202</w:t>
      </w:r>
      <w:r w:rsidR="00441580">
        <w:t>4</w:t>
      </w:r>
      <w:r w:rsidR="00EE571F">
        <w:t xml:space="preserve"> году</w:t>
      </w:r>
      <w:r w:rsidR="00EE571F" w:rsidRPr="00EE571F">
        <w:t xml:space="preserve"> уполномоченным подразделением проанализирована деятельность </w:t>
      </w:r>
      <w:r w:rsidR="00EE571F">
        <w:t>Департамента</w:t>
      </w:r>
      <w:r w:rsidR="00EE571F" w:rsidRPr="00EE571F">
        <w:t xml:space="preserve"> в 20</w:t>
      </w:r>
      <w:r w:rsidR="008C7D15">
        <w:t>2</w:t>
      </w:r>
      <w:r w:rsidR="00441580">
        <w:t>2</w:t>
      </w:r>
      <w:r w:rsidR="00EE571F">
        <w:t>, 202</w:t>
      </w:r>
      <w:r w:rsidR="00441580">
        <w:t>3</w:t>
      </w:r>
      <w:r w:rsidR="00EE571F" w:rsidRPr="00EE571F">
        <w:t xml:space="preserve"> и 202</w:t>
      </w:r>
      <w:r w:rsidR="00441580">
        <w:t>4</w:t>
      </w:r>
      <w:r w:rsidR="00EE571F" w:rsidRPr="00EE571F">
        <w:t xml:space="preserve"> годах на предмет нарушений антимонопольного законодательства в действиях (бездействии) и решениях </w:t>
      </w:r>
      <w:r w:rsidR="00EE571F">
        <w:t xml:space="preserve">Департамента </w:t>
      </w:r>
      <w:r w:rsidR="00EE571F" w:rsidRPr="00EE571F">
        <w:t>и его структурных подразделений.</w:t>
      </w:r>
    </w:p>
    <w:p w:rsidR="00E70CA1" w:rsidRDefault="00E70CA1" w:rsidP="00F4064C">
      <w:pPr>
        <w:pStyle w:val="1"/>
        <w:spacing w:line="240" w:lineRule="auto"/>
        <w:ind w:firstLine="709"/>
      </w:pPr>
      <w:r w:rsidRPr="00F61BF9">
        <w:t>По результатам проведенного анализа установлено следующее:</w:t>
      </w:r>
    </w:p>
    <w:p w:rsidR="00F4064C" w:rsidRPr="00F61BF9" w:rsidRDefault="00F4064C" w:rsidP="00F4064C">
      <w:pPr>
        <w:pStyle w:val="1"/>
        <w:spacing w:line="240" w:lineRule="auto"/>
        <w:ind w:firstLine="709"/>
      </w:pPr>
      <w:r w:rsidRPr="00F4064C">
        <w:lastRenderedPageBreak/>
        <w:t xml:space="preserve">- по результатам анализа действующих нормативно правовых актов </w:t>
      </w:r>
      <w:r>
        <w:t xml:space="preserve">Департамента </w:t>
      </w:r>
      <w:r w:rsidRPr="00F4064C">
        <w:t>за период с 01.</w:t>
      </w:r>
      <w:r>
        <w:t>01</w:t>
      </w:r>
      <w:r w:rsidRPr="00F4064C">
        <w:t>.20</w:t>
      </w:r>
      <w:r>
        <w:t>2</w:t>
      </w:r>
      <w:r w:rsidR="00441580">
        <w:t>4</w:t>
      </w:r>
      <w:r w:rsidRPr="00F4064C">
        <w:t xml:space="preserve"> по </w:t>
      </w:r>
      <w:r>
        <w:t>31.12.202</w:t>
      </w:r>
      <w:r w:rsidR="00441580">
        <w:t>4</w:t>
      </w:r>
      <w:r w:rsidRPr="00F4064C">
        <w:t xml:space="preserve"> - отсутствуют нормативные правовые акты, имеющие потенциальные риски нарушения антимонопольного законодательства;</w:t>
      </w:r>
    </w:p>
    <w:p w:rsidR="00E70CA1" w:rsidRPr="00F61BF9" w:rsidRDefault="00E70CA1" w:rsidP="00F4064C">
      <w:pPr>
        <w:pStyle w:val="1"/>
        <w:spacing w:line="240" w:lineRule="auto"/>
        <w:ind w:firstLine="709"/>
      </w:pPr>
      <w:r w:rsidRPr="00F61BF9">
        <w:t xml:space="preserve">- </w:t>
      </w:r>
      <w:r w:rsidR="00F4064C">
        <w:t>в отношении Департамента в 202</w:t>
      </w:r>
      <w:r w:rsidR="00441580">
        <w:t>4</w:t>
      </w:r>
      <w:r w:rsidR="00F4064C">
        <w:t xml:space="preserve"> году </w:t>
      </w:r>
      <w:r w:rsidRPr="00F61BF9">
        <w:t>рассмотрени</w:t>
      </w:r>
      <w:r w:rsidR="00F4064C">
        <w:t>е</w:t>
      </w:r>
      <w:r w:rsidRPr="00F61BF9">
        <w:t xml:space="preserve"> дел по вопросам применения и возможного нарушения Департаментом норм антимонопольного законодательства в судебных инстанциях не осуществлялось;</w:t>
      </w:r>
    </w:p>
    <w:p w:rsidR="00F4064C" w:rsidRDefault="00F4064C" w:rsidP="00F4064C">
      <w:pPr>
        <w:pStyle w:val="1"/>
        <w:spacing w:line="240" w:lineRule="auto"/>
        <w:ind w:firstLine="709"/>
      </w:pPr>
      <w:r>
        <w:t>- нарушения законодательства в сфере закупок товаров, работ, услуг для обеспечения государственных нужд не выявлены;</w:t>
      </w:r>
    </w:p>
    <w:p w:rsidR="00F4064C" w:rsidRDefault="00F4064C" w:rsidP="006B7EEA">
      <w:pPr>
        <w:pStyle w:val="1"/>
        <w:spacing w:line="240" w:lineRule="auto"/>
        <w:ind w:firstLine="709"/>
      </w:pPr>
      <w:r>
        <w:t>- в отношении Департамента в 202</w:t>
      </w:r>
      <w:r w:rsidR="00441580">
        <w:t>4</w:t>
      </w:r>
      <w:r>
        <w:t xml:space="preserve"> году санкции органами </w:t>
      </w:r>
      <w:r w:rsidRPr="00F61BF9">
        <w:t>УФАС России по Чукотскому автономному округу</w:t>
      </w:r>
      <w:r>
        <w:t xml:space="preserve"> не предъявлялись</w:t>
      </w:r>
      <w:r w:rsidR="00A65983">
        <w:t>;</w:t>
      </w:r>
    </w:p>
    <w:p w:rsidR="00A65983" w:rsidRDefault="00A65983" w:rsidP="006B7EEA">
      <w:pPr>
        <w:pStyle w:val="1"/>
        <w:spacing w:line="240" w:lineRule="auto"/>
        <w:ind w:firstLine="709"/>
      </w:pPr>
      <w:r>
        <w:t>- должностные лица не привлекалась</w:t>
      </w:r>
      <w:r w:rsidR="001E7856">
        <w:t xml:space="preserve"> к административной ответственности в виде наложения штрафа или в виде их дисквалификации.</w:t>
      </w:r>
    </w:p>
    <w:p w:rsidR="00660E79" w:rsidRDefault="00660E79" w:rsidP="00660E79">
      <w:pPr>
        <w:pStyle w:val="1"/>
        <w:spacing w:line="240" w:lineRule="auto"/>
        <w:ind w:firstLine="709"/>
      </w:pPr>
      <w:r>
        <w:t xml:space="preserve">В целях недопущения противоречий нормам антимонопольного законодательства </w:t>
      </w:r>
      <w:r w:rsidRPr="00660E79">
        <w:t>Управлени</w:t>
      </w:r>
      <w:r>
        <w:t>ем</w:t>
      </w:r>
      <w:r w:rsidRPr="00660E79">
        <w:t xml:space="preserve"> аналитической, правовой и кадровой работы </w:t>
      </w:r>
      <w:r>
        <w:t>на стадии разработки проектов локальных актов Департамента, договоров и соглашений, проводится экспертиза перечисленных документов, подготовленных структурными подразделениями Аппарата.</w:t>
      </w:r>
    </w:p>
    <w:p w:rsidR="00660E79" w:rsidRDefault="00CF27A0" w:rsidP="00660E79">
      <w:pPr>
        <w:pStyle w:val="1"/>
        <w:spacing w:line="240" w:lineRule="auto"/>
        <w:ind w:firstLine="709"/>
      </w:pPr>
      <w:r>
        <w:t>Уполномоченным подразделением</w:t>
      </w:r>
      <w:r w:rsidR="00660E79" w:rsidRPr="00660E79">
        <w:t xml:space="preserve"> </w:t>
      </w:r>
      <w:r w:rsidR="00660E79">
        <w:t>проведены работы, связанные с организацией и функционированием антимонопольного комплаенса, в том числе:</w:t>
      </w:r>
    </w:p>
    <w:p w:rsidR="006571BC" w:rsidRDefault="00660E79" w:rsidP="00660E79">
      <w:pPr>
        <w:pStyle w:val="1"/>
        <w:spacing w:line="240" w:lineRule="auto"/>
        <w:ind w:firstLine="709"/>
      </w:pPr>
      <w:r>
        <w:t xml:space="preserve">- </w:t>
      </w:r>
      <w:r w:rsidR="006571BC">
        <w:t>выявление и оценка рисков нарушений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нарушений антимонопольного законодательства;</w:t>
      </w:r>
    </w:p>
    <w:p w:rsidR="006571BC" w:rsidRDefault="006571BC" w:rsidP="00660E79">
      <w:pPr>
        <w:pStyle w:val="1"/>
        <w:spacing w:line="240" w:lineRule="auto"/>
        <w:ind w:firstLine="709"/>
      </w:pPr>
      <w:r>
        <w:t xml:space="preserve">- консультирование работников Департамента, а также организация взаимодействия с другими структурными подразделениями Департамента по вопросам, связанным с </w:t>
      </w:r>
      <w:r w:rsidRPr="006571BC">
        <w:t>антимонопольным комплаенсом;</w:t>
      </w:r>
    </w:p>
    <w:p w:rsidR="006B4CD5" w:rsidRDefault="00CF27A0" w:rsidP="006B7EEA">
      <w:pPr>
        <w:pStyle w:val="1"/>
        <w:spacing w:line="240" w:lineRule="auto"/>
        <w:ind w:firstLine="709"/>
      </w:pPr>
      <w:r w:rsidRPr="00F61BF9">
        <w:t>По результатам проведения оценки рисков нарушения антимонопольного законодательства в Департаменте</w:t>
      </w:r>
      <w:r w:rsidR="00A564D8">
        <w:t>,</w:t>
      </w:r>
      <w:r>
        <w:t xml:space="preserve"> </w:t>
      </w:r>
      <w:r w:rsidR="00A564D8">
        <w:t>у</w:t>
      </w:r>
      <w:r>
        <w:t>полномоченным подразделением</w:t>
      </w:r>
      <w:r w:rsidR="006B4CD5">
        <w:t xml:space="preserve"> была составлена карта рисков нарушений антимонопольного законодательства Департамента, которая была утверждена приказом Департамента от </w:t>
      </w:r>
      <w:r w:rsidR="00441580">
        <w:t xml:space="preserve">16.01.2025 </w:t>
      </w:r>
      <w:r w:rsidR="006B4CD5">
        <w:t>№ 01-21/</w:t>
      </w:r>
      <w:r w:rsidR="00441580">
        <w:t>11</w:t>
      </w:r>
      <w:r w:rsidR="006B4CD5">
        <w:t>.</w:t>
      </w:r>
    </w:p>
    <w:p w:rsidR="006B7EEA" w:rsidRDefault="006B7EEA" w:rsidP="006B7EEA">
      <w:pPr>
        <w:pStyle w:val="1"/>
        <w:spacing w:line="240" w:lineRule="auto"/>
        <w:ind w:firstLine="709"/>
      </w:pPr>
    </w:p>
    <w:p w:rsidR="00F4064C" w:rsidRPr="00F4064C" w:rsidRDefault="00E70CA1" w:rsidP="00F4064C">
      <w:pPr>
        <w:pStyle w:val="1"/>
        <w:spacing w:line="240" w:lineRule="auto"/>
        <w:jc w:val="center"/>
        <w:rPr>
          <w:b/>
        </w:rPr>
      </w:pPr>
      <w:r w:rsidRPr="00E72051">
        <w:rPr>
          <w:b/>
        </w:rPr>
        <w:t xml:space="preserve">3. </w:t>
      </w:r>
      <w:r w:rsidR="00F4064C" w:rsidRPr="00F4064C">
        <w:rPr>
          <w:b/>
        </w:rPr>
        <w:t xml:space="preserve">Выполнение плана </w:t>
      </w:r>
      <w:r w:rsidR="00F84B8B">
        <w:rPr>
          <w:b/>
        </w:rPr>
        <w:t>мероприятий</w:t>
      </w:r>
      <w:r w:rsidR="00F4064C" w:rsidRPr="00F4064C">
        <w:rPr>
          <w:b/>
        </w:rPr>
        <w:t xml:space="preserve"> </w:t>
      </w:r>
      <w:r w:rsidR="00F84B8B">
        <w:rPr>
          <w:b/>
        </w:rPr>
        <w:t>п</w:t>
      </w:r>
      <w:r w:rsidR="00F4064C" w:rsidRPr="00F4064C">
        <w:rPr>
          <w:b/>
        </w:rPr>
        <w:t>о снижению рисков</w:t>
      </w:r>
    </w:p>
    <w:p w:rsidR="00E70CA1" w:rsidRDefault="00F4064C" w:rsidP="00F4064C">
      <w:pPr>
        <w:pStyle w:val="1"/>
        <w:spacing w:line="240" w:lineRule="auto"/>
        <w:jc w:val="center"/>
        <w:rPr>
          <w:b/>
        </w:rPr>
      </w:pPr>
      <w:r w:rsidRPr="00F4064C">
        <w:rPr>
          <w:b/>
        </w:rPr>
        <w:t>нарушений антимонопольного законодательства</w:t>
      </w:r>
      <w:r>
        <w:rPr>
          <w:b/>
        </w:rPr>
        <w:t xml:space="preserve"> в Департаменте</w:t>
      </w:r>
    </w:p>
    <w:p w:rsidR="00F4064C" w:rsidRPr="00E72051" w:rsidRDefault="00F4064C" w:rsidP="00F4064C">
      <w:pPr>
        <w:pStyle w:val="1"/>
        <w:spacing w:line="240" w:lineRule="auto"/>
        <w:ind w:firstLine="709"/>
        <w:rPr>
          <w:b/>
        </w:rPr>
      </w:pPr>
    </w:p>
    <w:p w:rsidR="002F551C" w:rsidRDefault="002F551C" w:rsidP="00F4064C">
      <w:pPr>
        <w:pStyle w:val="1"/>
        <w:spacing w:line="240" w:lineRule="auto"/>
        <w:ind w:firstLine="709"/>
      </w:pPr>
      <w:r>
        <w:t xml:space="preserve">Во исполнение Плана мероприятий </w:t>
      </w:r>
      <w:r w:rsidRPr="002F551C">
        <w:t>по снижению рисков нарушения антимонопольного законодательства в Департаменте</w:t>
      </w:r>
      <w:r w:rsidRPr="00F61BF9">
        <w:t xml:space="preserve"> </w:t>
      </w:r>
      <w:r>
        <w:t>на 202</w:t>
      </w:r>
      <w:r w:rsidR="00441580">
        <w:t>4</w:t>
      </w:r>
      <w:r>
        <w:t xml:space="preserve"> год, утвержденный </w:t>
      </w:r>
      <w:r w:rsidRPr="004F6729">
        <w:t>приказом Департамента</w:t>
      </w:r>
      <w:r>
        <w:t xml:space="preserve"> от </w:t>
      </w:r>
      <w:r w:rsidR="00441580">
        <w:t>31</w:t>
      </w:r>
      <w:r w:rsidR="00A03C06" w:rsidRPr="00A03C06">
        <w:t>.01.202</w:t>
      </w:r>
      <w:r w:rsidR="000A219A">
        <w:t>4</w:t>
      </w:r>
      <w:r w:rsidR="00A03C06" w:rsidRPr="00A03C06">
        <w:t xml:space="preserve"> № 01-21/</w:t>
      </w:r>
      <w:r w:rsidR="00441580">
        <w:t>48</w:t>
      </w:r>
      <w:r>
        <w:t xml:space="preserve">, уполномоченным подразделением проводился следующий комплекс мероприятий, направленных на устранение и </w:t>
      </w:r>
      <w:r w:rsidRPr="002F551C">
        <w:t>снижени</w:t>
      </w:r>
      <w:r>
        <w:t>е</w:t>
      </w:r>
      <w:r w:rsidRPr="002F551C">
        <w:t xml:space="preserve"> рисков</w:t>
      </w:r>
      <w:r>
        <w:t>, а также недопущения</w:t>
      </w:r>
      <w:r w:rsidRPr="002F551C">
        <w:t xml:space="preserve"> нарушения антимонопольного законодательства</w:t>
      </w:r>
      <w:r>
        <w:t>:</w:t>
      </w:r>
    </w:p>
    <w:p w:rsidR="00362B8D" w:rsidRDefault="00000E8A" w:rsidP="00362B8D">
      <w:pPr>
        <w:pStyle w:val="1"/>
        <w:spacing w:line="240" w:lineRule="auto"/>
        <w:ind w:firstLine="709"/>
      </w:pPr>
      <w:r>
        <w:t>-</w:t>
      </w:r>
      <w:r w:rsidR="00BE5837">
        <w:t xml:space="preserve"> </w:t>
      </w:r>
      <w:r w:rsidR="00362B8D">
        <w:t xml:space="preserve">согласование </w:t>
      </w:r>
      <w:r w:rsidR="00362B8D" w:rsidRPr="00362B8D">
        <w:t xml:space="preserve">проектов нормативных правовых актов Департамента </w:t>
      </w:r>
      <w:r w:rsidR="00362B8D">
        <w:t>в части</w:t>
      </w:r>
      <w:r w:rsidR="00362B8D" w:rsidRPr="00362B8D">
        <w:t xml:space="preserve"> соответствия их ант</w:t>
      </w:r>
      <w:r w:rsidR="00362B8D">
        <w:t>имонопольному законодательству;</w:t>
      </w:r>
    </w:p>
    <w:p w:rsidR="00362B8D" w:rsidRDefault="00362B8D" w:rsidP="00362B8D">
      <w:pPr>
        <w:pStyle w:val="1"/>
        <w:spacing w:line="240" w:lineRule="auto"/>
        <w:ind w:firstLine="709"/>
      </w:pPr>
      <w:r>
        <w:t xml:space="preserve">- </w:t>
      </w:r>
      <w:r w:rsidRPr="00BE5837">
        <w:t>мониторинг и анализ</w:t>
      </w:r>
      <w:r>
        <w:t xml:space="preserve"> </w:t>
      </w:r>
      <w:r w:rsidRPr="00BE5837">
        <w:t>изменени</w:t>
      </w:r>
      <w:r>
        <w:t>й</w:t>
      </w:r>
      <w:r w:rsidRPr="00BE5837">
        <w:t>, вносимых в законодательство о контрактной системе в сфере закупок</w:t>
      </w:r>
      <w:r>
        <w:t>;</w:t>
      </w:r>
    </w:p>
    <w:p w:rsidR="002F551C" w:rsidRDefault="00362B8D" w:rsidP="00362B8D">
      <w:pPr>
        <w:pStyle w:val="1"/>
        <w:spacing w:line="240" w:lineRule="auto"/>
        <w:ind w:firstLine="709"/>
      </w:pPr>
      <w:r>
        <w:t xml:space="preserve">- </w:t>
      </w:r>
      <w:r w:rsidRPr="00362B8D">
        <w:t>ознакомлени</w:t>
      </w:r>
      <w:r>
        <w:t>е</w:t>
      </w:r>
      <w:r w:rsidRPr="00362B8D">
        <w:t xml:space="preserve"> структурных подразделений Департамента с возможными рисками нарушения антимонопольного законодательства</w:t>
      </w:r>
      <w:r w:rsidR="00BE5837">
        <w:t>;</w:t>
      </w:r>
    </w:p>
    <w:p w:rsidR="00362B8D" w:rsidRDefault="00BE5837" w:rsidP="00362B8D">
      <w:pPr>
        <w:pStyle w:val="1"/>
        <w:spacing w:line="240" w:lineRule="auto"/>
        <w:ind w:firstLine="709"/>
      </w:pPr>
      <w:r>
        <w:t>-</w:t>
      </w:r>
      <w:r w:rsidR="00362B8D">
        <w:t xml:space="preserve"> участие в мероприятиях по профессиональному развитию по вопросам организации осуществления государственных закупок товаров, работ, услуг для обеспечения нужд Департамента;</w:t>
      </w:r>
    </w:p>
    <w:p w:rsidR="00362B8D" w:rsidRDefault="007C7D30" w:rsidP="00362B8D">
      <w:pPr>
        <w:pStyle w:val="1"/>
        <w:spacing w:line="240" w:lineRule="auto"/>
        <w:ind w:firstLine="709"/>
      </w:pPr>
      <w:r w:rsidRPr="007C7D30">
        <w:t>-</w:t>
      </w:r>
      <w:r>
        <w:t xml:space="preserve"> </w:t>
      </w:r>
      <w:r w:rsidRPr="007C7D30">
        <w:t xml:space="preserve">подготовка документов </w:t>
      </w:r>
      <w:r>
        <w:t>Департамента</w:t>
      </w:r>
      <w:r w:rsidRPr="007C7D30">
        <w:t xml:space="preserve"> в целях реализации антимонопольного комплаенса</w:t>
      </w:r>
      <w:r>
        <w:t>.</w:t>
      </w:r>
    </w:p>
    <w:p w:rsidR="004F6729" w:rsidRDefault="002B3E5B" w:rsidP="00F4064C">
      <w:pPr>
        <w:pStyle w:val="1"/>
        <w:spacing w:line="240" w:lineRule="auto"/>
        <w:ind w:firstLine="709"/>
      </w:pPr>
      <w:r w:rsidRPr="002B3E5B">
        <w:t xml:space="preserve">В целях дальнейшего недопущения нарушений антимонопольного законодательства, </w:t>
      </w:r>
      <w:r>
        <w:t xml:space="preserve">приказом Департамента от </w:t>
      </w:r>
      <w:r w:rsidR="00441580">
        <w:t>1</w:t>
      </w:r>
      <w:r w:rsidR="000A219A">
        <w:t>6</w:t>
      </w:r>
      <w:r w:rsidR="00A03C06">
        <w:t>.01.202</w:t>
      </w:r>
      <w:r w:rsidR="00441580">
        <w:t>5</w:t>
      </w:r>
      <w:r>
        <w:t xml:space="preserve"> № 01-21/</w:t>
      </w:r>
      <w:r w:rsidR="000A219A">
        <w:t>12</w:t>
      </w:r>
      <w:r>
        <w:t xml:space="preserve"> </w:t>
      </w:r>
      <w:r w:rsidRPr="002B3E5B">
        <w:t>утвержден</w:t>
      </w:r>
      <w:r>
        <w:t xml:space="preserve"> </w:t>
      </w:r>
      <w:r w:rsidRPr="002B3E5B">
        <w:t xml:space="preserve">план мероприятий («дорожная </w:t>
      </w:r>
      <w:r w:rsidRPr="002B3E5B">
        <w:lastRenderedPageBreak/>
        <w:t>карта») по снижению рисков нарушения антимонопольного законодательства Департамента образования и науки Чукотского автономного округа</w:t>
      </w:r>
      <w:r w:rsidR="0057777F">
        <w:t xml:space="preserve"> на 202</w:t>
      </w:r>
      <w:r w:rsidR="00A03C06">
        <w:t>4</w:t>
      </w:r>
      <w:r w:rsidR="0057777F">
        <w:t xml:space="preserve"> год</w:t>
      </w:r>
      <w:r>
        <w:t>.</w:t>
      </w:r>
    </w:p>
    <w:p w:rsidR="00E70CA1" w:rsidRPr="009B2160" w:rsidRDefault="00E70CA1" w:rsidP="009B2160">
      <w:pPr>
        <w:pStyle w:val="1"/>
        <w:spacing w:line="240" w:lineRule="auto"/>
        <w:ind w:firstLine="709"/>
        <w:rPr>
          <w:b/>
        </w:rPr>
      </w:pPr>
    </w:p>
    <w:p w:rsidR="009B2160" w:rsidRPr="009B2160" w:rsidRDefault="009B2160" w:rsidP="009B2160">
      <w:pPr>
        <w:pStyle w:val="1"/>
        <w:spacing w:line="240" w:lineRule="auto"/>
        <w:jc w:val="center"/>
        <w:rPr>
          <w:b/>
        </w:rPr>
      </w:pPr>
      <w:r w:rsidRPr="009B2160">
        <w:rPr>
          <w:b/>
        </w:rPr>
        <w:t>4. Выполнение ключевых показателей эффективности</w:t>
      </w:r>
    </w:p>
    <w:p w:rsidR="009B2160" w:rsidRPr="009B2160" w:rsidRDefault="009B2160" w:rsidP="009B2160">
      <w:pPr>
        <w:pStyle w:val="1"/>
        <w:spacing w:line="240" w:lineRule="auto"/>
        <w:jc w:val="center"/>
        <w:rPr>
          <w:b/>
        </w:rPr>
      </w:pPr>
      <w:r w:rsidRPr="009B2160">
        <w:rPr>
          <w:b/>
        </w:rPr>
        <w:t>антимонопольного комплаенса в Департаменте</w:t>
      </w:r>
    </w:p>
    <w:p w:rsidR="00D85448" w:rsidRDefault="00D85448" w:rsidP="00D85448">
      <w:pPr>
        <w:pStyle w:val="1"/>
        <w:spacing w:line="240" w:lineRule="auto"/>
        <w:ind w:firstLine="709"/>
      </w:pPr>
    </w:p>
    <w:p w:rsidR="009B2160" w:rsidRPr="009B2160" w:rsidRDefault="00D85448" w:rsidP="00C33260">
      <w:pPr>
        <w:pStyle w:val="1"/>
        <w:spacing w:line="240" w:lineRule="auto"/>
        <w:ind w:firstLine="709"/>
      </w:pPr>
      <w:r>
        <w:t xml:space="preserve">Приказом Департамента от 30.12.2021 № 01-21/692 </w:t>
      </w:r>
      <w:r w:rsidRPr="00D85448">
        <w:t>утвержден</w:t>
      </w:r>
      <w:r>
        <w:t xml:space="preserve">ы </w:t>
      </w:r>
      <w:r w:rsidRPr="00D85448">
        <w:t>ключевы</w:t>
      </w:r>
      <w:r>
        <w:t>е показатели</w:t>
      </w:r>
      <w:r w:rsidRPr="00D85448">
        <w:t xml:space="preserve"> эффективности функционирования антимонопольного комплаенса в Департаменте и </w:t>
      </w:r>
      <w:r>
        <w:t>м</w:t>
      </w:r>
      <w:r w:rsidRPr="00D85448">
        <w:t>етодик</w:t>
      </w:r>
      <w:r w:rsidR="008E72C5">
        <w:t>а</w:t>
      </w:r>
      <w:r w:rsidRPr="00D85448">
        <w:t xml:space="preserve"> их расчета</w:t>
      </w:r>
      <w:r>
        <w:t>.</w:t>
      </w:r>
    </w:p>
    <w:p w:rsidR="00C33260" w:rsidRDefault="00C33260" w:rsidP="00C33260">
      <w:pPr>
        <w:pStyle w:val="1"/>
        <w:spacing w:line="240" w:lineRule="auto"/>
        <w:ind w:firstLine="709"/>
      </w:pPr>
      <w:r>
        <w:t>Оценка значений ключевых показателей</w:t>
      </w:r>
      <w:r w:rsidR="00334B18" w:rsidRPr="00334B18">
        <w:t xml:space="preserve"> </w:t>
      </w:r>
      <w:r w:rsidR="00334B18">
        <w:t xml:space="preserve">составляет </w:t>
      </w:r>
      <w:r w:rsidR="0057777F">
        <w:t>100</w:t>
      </w:r>
      <w:r w:rsidR="00334B18">
        <w:t>%</w:t>
      </w:r>
      <w:r>
        <w:t>:</w:t>
      </w:r>
    </w:p>
    <w:p w:rsidR="00C33260" w:rsidRDefault="00334B18" w:rsidP="00C33260">
      <w:pPr>
        <w:pStyle w:val="1"/>
        <w:spacing w:line="240" w:lineRule="auto"/>
        <w:ind w:firstLine="709"/>
      </w:pPr>
      <w:r>
        <w:t>- о</w:t>
      </w:r>
      <w:r w:rsidR="00C33260">
        <w:t>тсутствие фактов в</w:t>
      </w:r>
      <w:r w:rsidR="00C33260" w:rsidRPr="00C33260">
        <w:t>ыдач</w:t>
      </w:r>
      <w:r w:rsidR="00C33260">
        <w:t>и</w:t>
      </w:r>
      <w:r w:rsidR="00C33260" w:rsidRPr="00C33260">
        <w:t xml:space="preserve"> Департаменту предупреждения и (или) решения (предписания) по результатам рассмотрения дела о нарушении антимонопольного законодательства</w:t>
      </w:r>
      <w:r w:rsidR="00C33260">
        <w:t xml:space="preserve"> – 30 баллов;</w:t>
      </w:r>
    </w:p>
    <w:p w:rsidR="00231553" w:rsidRPr="00EE5C77" w:rsidRDefault="00334B18" w:rsidP="00C33260">
      <w:pPr>
        <w:pStyle w:val="1"/>
        <w:spacing w:line="240" w:lineRule="auto"/>
        <w:ind w:firstLine="709"/>
      </w:pPr>
      <w:r>
        <w:t>- п</w:t>
      </w:r>
      <w:r w:rsidR="00231553" w:rsidRPr="00231553">
        <w:t>роведены обучающие мероприятия по антимонопольному законодательству и антимонопольному компл</w:t>
      </w:r>
      <w:r w:rsidR="00EE5C77">
        <w:t xml:space="preserve">аенсу сотрудников Департамента, </w:t>
      </w:r>
      <w:r w:rsidR="00231553" w:rsidRPr="00231553">
        <w:t>чьи служебные обязанности предусматривают выполнение функций, связанных с рисками нарушения антимонопольного закон</w:t>
      </w:r>
      <w:r w:rsidR="00231553">
        <w:t xml:space="preserve">одательства в количестве </w:t>
      </w:r>
      <w:r w:rsidR="0057777F">
        <w:t>100</w:t>
      </w:r>
      <w:r w:rsidR="00231553">
        <w:t>%</w:t>
      </w:r>
      <w:r w:rsidR="00EE5C77">
        <w:t xml:space="preserve"> от общего числа сотрудников</w:t>
      </w:r>
      <w:r w:rsidR="00EE5C77" w:rsidRPr="00EE5C77">
        <w:t xml:space="preserve"> служебные обязанности</w:t>
      </w:r>
      <w:r w:rsidR="00EE5C77">
        <w:t xml:space="preserve"> которых</w:t>
      </w:r>
      <w:r w:rsidR="00EE5C77" w:rsidRPr="00EE5C77">
        <w:t xml:space="preserve"> предусматривают выполнение функций, связанных с рисками нарушения антимонопольного законодательства</w:t>
      </w:r>
      <w:r w:rsidR="00EE5C77">
        <w:t xml:space="preserve"> - </w:t>
      </w:r>
      <w:r w:rsidR="0057777F">
        <w:t>3</w:t>
      </w:r>
      <w:r w:rsidR="00EE5C77">
        <w:t>0 баллов;</w:t>
      </w:r>
    </w:p>
    <w:p w:rsidR="00C33260" w:rsidRDefault="00334B18" w:rsidP="00C33260">
      <w:pPr>
        <w:pStyle w:val="1"/>
        <w:spacing w:line="240" w:lineRule="auto"/>
        <w:ind w:firstLine="709"/>
      </w:pPr>
      <w:r>
        <w:t>- о</w:t>
      </w:r>
      <w:r w:rsidR="00EE5C77">
        <w:t xml:space="preserve">тсутствие </w:t>
      </w:r>
      <w:r w:rsidR="00EE5C77" w:rsidRPr="00EE5C77">
        <w:t>жалоб на решения, действия Департамента и (или) должностных лиц, ведущие к ограничению конкуренции и поданные в органы прокуратуры, в адрес уполномоченного по защите прав предпринимателей в Чукотском автономном округе, с учетом вступивших в законную силу судебных актов</w:t>
      </w:r>
      <w:r w:rsidR="00EE5C77">
        <w:t xml:space="preserve"> – 10 баллов;</w:t>
      </w:r>
    </w:p>
    <w:p w:rsidR="00EE5C77" w:rsidRDefault="00334B18" w:rsidP="00C33260">
      <w:pPr>
        <w:pStyle w:val="1"/>
        <w:spacing w:line="240" w:lineRule="auto"/>
        <w:ind w:firstLine="709"/>
      </w:pPr>
      <w:r>
        <w:t>- п</w:t>
      </w:r>
      <w:r w:rsidR="00EE5C77" w:rsidRPr="00EE5C77">
        <w:t>лан мероприятий («дорожн</w:t>
      </w:r>
      <w:r w:rsidR="00EE5C77">
        <w:t>ая</w:t>
      </w:r>
      <w:r w:rsidR="00EE5C77" w:rsidRPr="00EE5C77">
        <w:t xml:space="preserve"> карт</w:t>
      </w:r>
      <w:r w:rsidR="00EE5C77">
        <w:t>а</w:t>
      </w:r>
      <w:r w:rsidR="00EE5C77" w:rsidRPr="00EE5C77">
        <w:t>») по снижению рисков нарушения ан</w:t>
      </w:r>
      <w:r w:rsidR="00EE5C77">
        <w:t>тимонопольного законодательства выполнен на 100% - 30 баллов.</w:t>
      </w:r>
    </w:p>
    <w:p w:rsidR="00334B18" w:rsidRDefault="00334B18" w:rsidP="00CF27A0">
      <w:pPr>
        <w:pStyle w:val="1"/>
        <w:spacing w:line="240" w:lineRule="auto"/>
        <w:ind w:firstLine="709"/>
      </w:pPr>
      <w:r>
        <w:t>Таким образом, ключевые показатели эффективности функционирования антимонопольного комплаенса в Департаменте достигают высшего уровня.</w:t>
      </w:r>
    </w:p>
    <w:p w:rsidR="00334B18" w:rsidRDefault="00334B18" w:rsidP="00CF27A0">
      <w:pPr>
        <w:pStyle w:val="1"/>
        <w:spacing w:line="240" w:lineRule="auto"/>
        <w:ind w:firstLine="709"/>
      </w:pPr>
    </w:p>
    <w:p w:rsidR="00334B18" w:rsidRDefault="00334B18" w:rsidP="00CF27A0">
      <w:pPr>
        <w:pStyle w:val="1"/>
        <w:spacing w:line="240" w:lineRule="auto"/>
        <w:ind w:firstLine="709"/>
      </w:pPr>
    </w:p>
    <w:p w:rsidR="00E70CA1" w:rsidRDefault="00E70CA1" w:rsidP="00CF27A0">
      <w:pPr>
        <w:pStyle w:val="1"/>
        <w:spacing w:line="240" w:lineRule="auto"/>
        <w:ind w:firstLine="709"/>
      </w:pPr>
    </w:p>
    <w:p w:rsidR="00E70CA1" w:rsidRPr="00F61BF9" w:rsidRDefault="00063A39" w:rsidP="008B02AE">
      <w:pPr>
        <w:pStyle w:val="1"/>
        <w:spacing w:line="240" w:lineRule="auto"/>
      </w:pPr>
      <w:r>
        <w:t>И.о. н</w:t>
      </w:r>
      <w:r w:rsidR="00E70CA1">
        <w:t>ачальник</w:t>
      </w:r>
      <w:r>
        <w:t>а</w:t>
      </w:r>
      <w:r w:rsidR="00E70CA1">
        <w:t xml:space="preserve"> Департамента                                                           </w:t>
      </w:r>
      <w:r w:rsidR="00334B18">
        <w:t xml:space="preserve">    </w:t>
      </w:r>
      <w:bookmarkStart w:id="0" w:name="_GoBack"/>
      <w:bookmarkEnd w:id="0"/>
      <w:r w:rsidR="00334B18">
        <w:t xml:space="preserve">      </w:t>
      </w:r>
      <w:r>
        <w:t xml:space="preserve">                  В.А. Дашко</w:t>
      </w:r>
    </w:p>
    <w:p w:rsidR="00E70CA1" w:rsidRDefault="00E70CA1" w:rsidP="008B02AE">
      <w:pPr>
        <w:ind w:firstLine="90"/>
        <w:rPr>
          <w:sz w:val="16"/>
          <w:szCs w:val="16"/>
        </w:rPr>
      </w:pPr>
    </w:p>
    <w:p w:rsidR="003243E5" w:rsidRDefault="003243E5" w:rsidP="008B02AE"/>
    <w:p w:rsidR="00B05107" w:rsidRDefault="00B05107" w:rsidP="008B02AE"/>
    <w:p w:rsidR="00B05107" w:rsidRDefault="00B05107" w:rsidP="008B02AE"/>
    <w:p w:rsidR="00B05107" w:rsidRDefault="00B05107" w:rsidP="008B02AE"/>
    <w:sectPr w:rsidR="00B05107" w:rsidSect="00C33260">
      <w:headerReference w:type="even" r:id="rId8"/>
      <w:footnotePr>
        <w:pos w:val="beneathText"/>
      </w:footnotePr>
      <w:pgSz w:w="11905" w:h="16837"/>
      <w:pgMar w:top="851" w:right="565" w:bottom="567" w:left="113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DA" w:rsidRDefault="005924DA">
      <w:r>
        <w:separator/>
      </w:r>
    </w:p>
  </w:endnote>
  <w:endnote w:type="continuationSeparator" w:id="0">
    <w:p w:rsidR="005924DA" w:rsidRDefault="0059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DA" w:rsidRDefault="005924DA">
      <w:r>
        <w:separator/>
      </w:r>
    </w:p>
  </w:footnote>
  <w:footnote w:type="continuationSeparator" w:id="0">
    <w:p w:rsidR="005924DA" w:rsidRDefault="0059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19" w:rsidRDefault="00E70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E4619" w:rsidRDefault="005924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64C"/>
    <w:multiLevelType w:val="hybridMultilevel"/>
    <w:tmpl w:val="4F7A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529E"/>
    <w:multiLevelType w:val="hybridMultilevel"/>
    <w:tmpl w:val="E0AEECDE"/>
    <w:lvl w:ilvl="0" w:tplc="13DC2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7C"/>
    <w:rsid w:val="00000E8A"/>
    <w:rsid w:val="00042CD4"/>
    <w:rsid w:val="00063A39"/>
    <w:rsid w:val="000A219A"/>
    <w:rsid w:val="000C2985"/>
    <w:rsid w:val="001A0439"/>
    <w:rsid w:val="001E40CC"/>
    <w:rsid w:val="001E7856"/>
    <w:rsid w:val="002048F7"/>
    <w:rsid w:val="00220BFC"/>
    <w:rsid w:val="00231553"/>
    <w:rsid w:val="00253EA6"/>
    <w:rsid w:val="00285B7B"/>
    <w:rsid w:val="002B3E5B"/>
    <w:rsid w:val="002D6C1E"/>
    <w:rsid w:val="002F551C"/>
    <w:rsid w:val="003243E5"/>
    <w:rsid w:val="00334B18"/>
    <w:rsid w:val="00362B8D"/>
    <w:rsid w:val="003C07D7"/>
    <w:rsid w:val="003E7AC8"/>
    <w:rsid w:val="00440D94"/>
    <w:rsid w:val="00441580"/>
    <w:rsid w:val="004F6729"/>
    <w:rsid w:val="00572272"/>
    <w:rsid w:val="0057777F"/>
    <w:rsid w:val="0058127C"/>
    <w:rsid w:val="005924DA"/>
    <w:rsid w:val="005C467F"/>
    <w:rsid w:val="005F1EFC"/>
    <w:rsid w:val="0062090C"/>
    <w:rsid w:val="00654AE2"/>
    <w:rsid w:val="006571BC"/>
    <w:rsid w:val="00660E79"/>
    <w:rsid w:val="006A6A14"/>
    <w:rsid w:val="006B4CD5"/>
    <w:rsid w:val="006B7EEA"/>
    <w:rsid w:val="00740E3C"/>
    <w:rsid w:val="0075026E"/>
    <w:rsid w:val="007C7D30"/>
    <w:rsid w:val="008900F4"/>
    <w:rsid w:val="008B02AE"/>
    <w:rsid w:val="008C7D15"/>
    <w:rsid w:val="008D0D2C"/>
    <w:rsid w:val="008E72C5"/>
    <w:rsid w:val="00923A2F"/>
    <w:rsid w:val="009B2160"/>
    <w:rsid w:val="00A03C06"/>
    <w:rsid w:val="00A564D8"/>
    <w:rsid w:val="00A65983"/>
    <w:rsid w:val="00A81061"/>
    <w:rsid w:val="00A83E47"/>
    <w:rsid w:val="00B05107"/>
    <w:rsid w:val="00B31BD0"/>
    <w:rsid w:val="00BE5837"/>
    <w:rsid w:val="00C33260"/>
    <w:rsid w:val="00CD3EE2"/>
    <w:rsid w:val="00CE7F91"/>
    <w:rsid w:val="00CF27A0"/>
    <w:rsid w:val="00D62E8E"/>
    <w:rsid w:val="00D85448"/>
    <w:rsid w:val="00DD3341"/>
    <w:rsid w:val="00DD78E4"/>
    <w:rsid w:val="00E70CA1"/>
    <w:rsid w:val="00EE571F"/>
    <w:rsid w:val="00EE5C77"/>
    <w:rsid w:val="00F36315"/>
    <w:rsid w:val="00F4064C"/>
    <w:rsid w:val="00F40DE9"/>
    <w:rsid w:val="00F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DB86"/>
  <w15:chartTrackingRefBased/>
  <w15:docId w15:val="{8316152F-C990-4A85-90AD-16536053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C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7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0CA1"/>
  </w:style>
  <w:style w:type="character" w:styleId="a6">
    <w:name w:val="Hyperlink"/>
    <w:uiPriority w:val="99"/>
    <w:rsid w:val="00E70CA1"/>
    <w:rPr>
      <w:color w:val="0000FF"/>
      <w:u w:val="single"/>
    </w:rPr>
  </w:style>
  <w:style w:type="paragraph" w:customStyle="1" w:styleId="1">
    <w:name w:val="Стиль1"/>
    <w:basedOn w:val="a"/>
    <w:qFormat/>
    <w:rsid w:val="00E70CA1"/>
    <w:pPr>
      <w:spacing w:line="276" w:lineRule="auto"/>
      <w:jc w:val="both"/>
    </w:pPr>
    <w:rPr>
      <w:rFonts w:eastAsia="Calibr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7D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173948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Сергеевич</dc:creator>
  <cp:keywords/>
  <dc:description/>
  <cp:lastModifiedBy>Ладыгина Надежда Игоревна</cp:lastModifiedBy>
  <cp:revision>42</cp:revision>
  <cp:lastPrinted>2023-01-27T04:26:00Z</cp:lastPrinted>
  <dcterms:created xsi:type="dcterms:W3CDTF">2021-04-13T03:50:00Z</dcterms:created>
  <dcterms:modified xsi:type="dcterms:W3CDTF">2025-01-17T04:27:00Z</dcterms:modified>
</cp:coreProperties>
</file>