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2"/>
      </w:tblGrid>
      <w:tr w:rsidR="00FD4623" w:rsidRPr="00FD4623" w:rsidTr="000E1D98">
        <w:trPr>
          <w:trHeight w:val="2840"/>
        </w:trPr>
        <w:tc>
          <w:tcPr>
            <w:tcW w:w="5902" w:type="dxa"/>
          </w:tcPr>
          <w:p w:rsidR="00FD4623" w:rsidRPr="00FD4623" w:rsidRDefault="00FD4623" w:rsidP="006E4FD9">
            <w:pPr>
              <w:pStyle w:val="1"/>
              <w:shd w:val="clear" w:color="auto" w:fill="auto"/>
              <w:spacing w:after="0" w:line="240" w:lineRule="auto"/>
              <w:rPr>
                <w:rStyle w:val="a9"/>
                <w:b w:val="0"/>
              </w:rPr>
            </w:pPr>
            <w:r w:rsidRPr="00FD4623">
              <w:rPr>
                <w:rStyle w:val="a9"/>
                <w:b w:val="0"/>
              </w:rPr>
              <w:t>УТВЕРЖД</w:t>
            </w:r>
            <w:r w:rsidR="009D4E76">
              <w:rPr>
                <w:rStyle w:val="a9"/>
                <w:b w:val="0"/>
              </w:rPr>
              <w:t>Ё</w:t>
            </w:r>
            <w:r w:rsidRPr="00FD4623">
              <w:rPr>
                <w:rStyle w:val="a9"/>
                <w:b w:val="0"/>
              </w:rPr>
              <w:t>Н</w:t>
            </w:r>
          </w:p>
          <w:p w:rsidR="009D4E76" w:rsidRDefault="000E1D98" w:rsidP="00271699">
            <w:pPr>
              <w:pStyle w:val="1"/>
              <w:shd w:val="clear" w:color="auto" w:fill="auto"/>
              <w:spacing w:after="0" w:line="240" w:lineRule="auto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Протоколом заседания </w:t>
            </w:r>
            <w:r w:rsidR="00FD4623" w:rsidRPr="00FD4623">
              <w:rPr>
                <w:rStyle w:val="a9"/>
                <w:b w:val="0"/>
              </w:rPr>
              <w:t>Коллегиальн</w:t>
            </w:r>
            <w:r>
              <w:rPr>
                <w:rStyle w:val="a9"/>
                <w:b w:val="0"/>
              </w:rPr>
              <w:t xml:space="preserve">ого </w:t>
            </w:r>
            <w:r w:rsidR="00FD4623" w:rsidRPr="00FD4623">
              <w:rPr>
                <w:rStyle w:val="a9"/>
                <w:b w:val="0"/>
              </w:rPr>
              <w:t>орган</w:t>
            </w:r>
            <w:r>
              <w:rPr>
                <w:rStyle w:val="a9"/>
                <w:b w:val="0"/>
              </w:rPr>
              <w:t>а</w:t>
            </w:r>
            <w:r w:rsidR="00FD4623" w:rsidRPr="00FD4623">
              <w:rPr>
                <w:rStyle w:val="a9"/>
                <w:b w:val="0"/>
              </w:rPr>
              <w:t>,</w:t>
            </w:r>
            <w:r w:rsidR="009D4E76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осуществляющ</w:t>
            </w:r>
            <w:r>
              <w:rPr>
                <w:rStyle w:val="a9"/>
                <w:b w:val="0"/>
              </w:rPr>
              <w:t xml:space="preserve">его </w:t>
            </w:r>
            <w:r w:rsidR="00FD4623" w:rsidRPr="00FD4623">
              <w:rPr>
                <w:rStyle w:val="a9"/>
                <w:b w:val="0"/>
              </w:rPr>
              <w:t>оценку</w:t>
            </w:r>
            <w:r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эффективности</w:t>
            </w:r>
            <w:r w:rsidR="009D4E76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организации и</w:t>
            </w:r>
            <w:r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функционирования</w:t>
            </w:r>
            <w:r w:rsidR="009D4E76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системы</w:t>
            </w:r>
            <w:r w:rsidR="00271699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внутреннего обеспечения соответствия</w:t>
            </w:r>
            <w:r w:rsidR="00271699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требованиям</w:t>
            </w:r>
            <w:r w:rsidR="009D4E76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антимонопольного законодательства</w:t>
            </w:r>
            <w:r w:rsidR="00271699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в Департаменте социальной политики</w:t>
            </w:r>
            <w:r w:rsidR="00271699">
              <w:rPr>
                <w:rStyle w:val="a9"/>
                <w:b w:val="0"/>
              </w:rPr>
              <w:t xml:space="preserve"> </w:t>
            </w:r>
            <w:r w:rsidR="00FD4623" w:rsidRPr="00FD4623">
              <w:rPr>
                <w:rStyle w:val="a9"/>
                <w:b w:val="0"/>
              </w:rPr>
              <w:t>Чукотского автономного округа</w:t>
            </w:r>
          </w:p>
          <w:p w:rsidR="00FD4623" w:rsidRPr="00FD4623" w:rsidRDefault="00FD4623" w:rsidP="00631901">
            <w:pPr>
              <w:pStyle w:val="1"/>
              <w:shd w:val="clear" w:color="auto" w:fill="auto"/>
              <w:spacing w:after="0" w:line="240" w:lineRule="auto"/>
              <w:rPr>
                <w:rStyle w:val="a9"/>
                <w:b w:val="0"/>
              </w:rPr>
            </w:pPr>
            <w:r w:rsidRPr="00FD4623">
              <w:rPr>
                <w:rStyle w:val="a9"/>
                <w:b w:val="0"/>
              </w:rPr>
              <w:t xml:space="preserve">от </w:t>
            </w:r>
            <w:r w:rsidR="001D58D4">
              <w:rPr>
                <w:rStyle w:val="a9"/>
                <w:b w:val="0"/>
              </w:rPr>
              <w:t>6</w:t>
            </w:r>
            <w:r w:rsidR="000E1D98">
              <w:rPr>
                <w:rStyle w:val="a9"/>
                <w:b w:val="0"/>
              </w:rPr>
              <w:t xml:space="preserve"> </w:t>
            </w:r>
            <w:r w:rsidR="001D58D4">
              <w:rPr>
                <w:rStyle w:val="a9"/>
                <w:b w:val="0"/>
              </w:rPr>
              <w:t>феврал</w:t>
            </w:r>
            <w:r w:rsidR="00631901">
              <w:rPr>
                <w:rStyle w:val="a9"/>
                <w:b w:val="0"/>
              </w:rPr>
              <w:t>я</w:t>
            </w:r>
            <w:r w:rsidR="000E1D98">
              <w:rPr>
                <w:rStyle w:val="a9"/>
                <w:b w:val="0"/>
              </w:rPr>
              <w:t xml:space="preserve"> </w:t>
            </w:r>
            <w:r w:rsidRPr="00FD4623">
              <w:rPr>
                <w:rStyle w:val="a9"/>
                <w:b w:val="0"/>
              </w:rPr>
              <w:t>202</w:t>
            </w:r>
            <w:r w:rsidR="001D58D4">
              <w:rPr>
                <w:rStyle w:val="a9"/>
                <w:b w:val="0"/>
              </w:rPr>
              <w:t>6</w:t>
            </w:r>
            <w:r w:rsidRPr="00FD4623">
              <w:rPr>
                <w:rStyle w:val="a9"/>
                <w:b w:val="0"/>
              </w:rPr>
              <w:t xml:space="preserve"> года № </w:t>
            </w:r>
            <w:r w:rsidR="00CC0C56">
              <w:rPr>
                <w:rStyle w:val="a9"/>
                <w:b w:val="0"/>
              </w:rPr>
              <w:t>1</w:t>
            </w:r>
          </w:p>
        </w:tc>
      </w:tr>
    </w:tbl>
    <w:p w:rsidR="00FD4623" w:rsidRDefault="00FD4623" w:rsidP="006E4FD9">
      <w:pPr>
        <w:pStyle w:val="1"/>
        <w:shd w:val="clear" w:color="auto" w:fill="auto"/>
        <w:spacing w:after="0" w:line="240" w:lineRule="auto"/>
        <w:rPr>
          <w:rStyle w:val="a9"/>
        </w:rPr>
      </w:pPr>
    </w:p>
    <w:p w:rsidR="009D4E76" w:rsidRDefault="00FD4623" w:rsidP="006E4FD9">
      <w:pPr>
        <w:pStyle w:val="1"/>
        <w:shd w:val="clear" w:color="auto" w:fill="auto"/>
        <w:spacing w:after="0" w:line="240" w:lineRule="auto"/>
        <w:rPr>
          <w:rStyle w:val="a9"/>
        </w:rPr>
      </w:pPr>
      <w:r>
        <w:rPr>
          <w:rStyle w:val="a9"/>
        </w:rPr>
        <w:t>Д</w:t>
      </w:r>
      <w:r w:rsidR="00645121" w:rsidRPr="00FD4623">
        <w:rPr>
          <w:rStyle w:val="a9"/>
        </w:rPr>
        <w:t>оклад</w:t>
      </w:r>
      <w:r w:rsidR="009D4E76">
        <w:rPr>
          <w:rStyle w:val="a9"/>
        </w:rPr>
        <w:t xml:space="preserve"> </w:t>
      </w:r>
      <w:r w:rsidR="00645121" w:rsidRPr="00FD4623">
        <w:rPr>
          <w:rStyle w:val="a9"/>
        </w:rPr>
        <w:t>об антимонопольном комплаенсе</w:t>
      </w:r>
    </w:p>
    <w:p w:rsidR="009F7DEF" w:rsidRDefault="00645121" w:rsidP="006E4FD9">
      <w:pPr>
        <w:pStyle w:val="1"/>
        <w:shd w:val="clear" w:color="auto" w:fill="auto"/>
        <w:spacing w:after="0" w:line="240" w:lineRule="auto"/>
        <w:rPr>
          <w:rStyle w:val="a9"/>
        </w:rPr>
      </w:pPr>
      <w:r w:rsidRPr="00FD4623">
        <w:rPr>
          <w:rStyle w:val="a9"/>
        </w:rPr>
        <w:t>Департамента социальной политики Чукотского автономного округа</w:t>
      </w:r>
    </w:p>
    <w:p w:rsidR="00BF6B84" w:rsidRPr="00FD4623" w:rsidRDefault="00BF6B84" w:rsidP="006E4FD9">
      <w:pPr>
        <w:pStyle w:val="1"/>
        <w:shd w:val="clear" w:color="auto" w:fill="auto"/>
        <w:spacing w:after="0" w:line="240" w:lineRule="auto"/>
        <w:rPr>
          <w:rStyle w:val="a9"/>
        </w:rPr>
      </w:pPr>
      <w:r>
        <w:rPr>
          <w:rStyle w:val="a9"/>
        </w:rPr>
        <w:t>за 202</w:t>
      </w:r>
      <w:r w:rsidR="009A6BF4">
        <w:rPr>
          <w:rStyle w:val="a9"/>
        </w:rPr>
        <w:t>5</w:t>
      </w:r>
      <w:r>
        <w:rPr>
          <w:rStyle w:val="a9"/>
        </w:rPr>
        <w:t xml:space="preserve"> год</w:t>
      </w:r>
    </w:p>
    <w:p w:rsidR="009F7DEF" w:rsidRPr="00FD4623" w:rsidRDefault="009F7DEF" w:rsidP="006E4FD9">
      <w:pPr>
        <w:pStyle w:val="1"/>
        <w:shd w:val="clear" w:color="auto" w:fill="auto"/>
        <w:spacing w:after="0" w:line="240" w:lineRule="auto"/>
        <w:ind w:firstLineChars="276" w:firstLine="720"/>
        <w:jc w:val="both"/>
        <w:rPr>
          <w:rStyle w:val="a9"/>
        </w:rPr>
      </w:pPr>
    </w:p>
    <w:p w:rsidR="009F7DEF" w:rsidRPr="00FD4623" w:rsidRDefault="008E5D82" w:rsidP="006E4FD9">
      <w:pPr>
        <w:pStyle w:val="1"/>
        <w:shd w:val="clear" w:color="auto" w:fill="auto"/>
        <w:spacing w:after="0" w:line="240" w:lineRule="auto"/>
        <w:rPr>
          <w:rStyle w:val="a9"/>
        </w:rPr>
      </w:pPr>
      <w:bookmarkStart w:id="0" w:name="bookmark3"/>
      <w:r w:rsidRPr="00FD4623">
        <w:rPr>
          <w:rStyle w:val="a9"/>
        </w:rPr>
        <w:t xml:space="preserve">1. </w:t>
      </w:r>
      <w:r w:rsidR="00645121" w:rsidRPr="00FD4623">
        <w:rPr>
          <w:rStyle w:val="a9"/>
        </w:rPr>
        <w:t>Общие положения</w:t>
      </w:r>
      <w:bookmarkEnd w:id="0"/>
    </w:p>
    <w:p w:rsidR="009F7DEF" w:rsidRDefault="009F7DEF" w:rsidP="006E4FD9">
      <w:pPr>
        <w:pStyle w:val="40"/>
        <w:keepNext/>
        <w:keepLines/>
        <w:shd w:val="clear" w:color="auto" w:fill="auto"/>
        <w:spacing w:line="240" w:lineRule="auto"/>
        <w:ind w:firstLine="0"/>
      </w:pPr>
    </w:p>
    <w:p w:rsidR="001667A6" w:rsidRDefault="00E91F4F" w:rsidP="006E4FD9">
      <w:pPr>
        <w:pStyle w:val="1"/>
        <w:shd w:val="clear" w:color="auto" w:fill="auto"/>
        <w:spacing w:after="0" w:line="240" w:lineRule="auto"/>
        <w:ind w:firstLineChars="276" w:firstLine="718"/>
        <w:jc w:val="both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Организация антимонопольного комплаенса в Департаменте социальной политики Чукотского автономного округа (далее – Департамент) осуществляется в соответствии с Указом Президента Российской Федерации от 21 декабря 2017 года </w:t>
      </w:r>
      <w:r w:rsidR="00BF6B84">
        <w:rPr>
          <w:rStyle w:val="a9"/>
          <w:b w:val="0"/>
          <w:bCs w:val="0"/>
        </w:rPr>
        <w:t xml:space="preserve">               </w:t>
      </w:r>
      <w:r>
        <w:rPr>
          <w:rStyle w:val="a9"/>
          <w:b w:val="0"/>
          <w:bCs w:val="0"/>
        </w:rPr>
        <w:t xml:space="preserve">№ 618 «Об основных направлениях государственной политики по развитию конкуренции», Методическими рекомендациями по созданию и организации федеральными </w:t>
      </w:r>
      <w:r w:rsidR="00373E3C">
        <w:rPr>
          <w:rStyle w:val="a9"/>
          <w:b w:val="0"/>
          <w:bCs w:val="0"/>
        </w:rPr>
        <w:t xml:space="preserve">органами исполнительной власти </w:t>
      </w:r>
      <w:r w:rsidR="001D6E53">
        <w:rPr>
          <w:rStyle w:val="a9"/>
          <w:b w:val="0"/>
          <w:bCs w:val="0"/>
        </w:rPr>
        <w:t xml:space="preserve">системы внутреннего обеспечения </w:t>
      </w:r>
      <w:bookmarkStart w:id="1" w:name="_GoBack"/>
      <w:r w:rsidR="001D6E53">
        <w:rPr>
          <w:rStyle w:val="a9"/>
          <w:b w:val="0"/>
          <w:bCs w:val="0"/>
        </w:rPr>
        <w:t>соответствия требованиям антимонопольного законодательства, утвержд</w:t>
      </w:r>
      <w:r w:rsidR="007142BD">
        <w:rPr>
          <w:rStyle w:val="a9"/>
          <w:b w:val="0"/>
          <w:bCs w:val="0"/>
        </w:rPr>
        <w:t>ё</w:t>
      </w:r>
      <w:r w:rsidR="001D6E53">
        <w:rPr>
          <w:rStyle w:val="a9"/>
          <w:b w:val="0"/>
          <w:bCs w:val="0"/>
        </w:rPr>
        <w:t xml:space="preserve">нными </w:t>
      </w:r>
      <w:bookmarkEnd w:id="1"/>
      <w:r w:rsidR="006E2F42">
        <w:rPr>
          <w:rStyle w:val="a9"/>
          <w:b w:val="0"/>
          <w:bCs w:val="0"/>
        </w:rPr>
        <w:t>Р</w:t>
      </w:r>
      <w:r w:rsidR="001D6E53">
        <w:rPr>
          <w:rStyle w:val="a9"/>
          <w:b w:val="0"/>
          <w:bCs w:val="0"/>
        </w:rPr>
        <w:t xml:space="preserve">аспоряжением Правительства Российской Федерации от 18 октября 2018 года </w:t>
      </w:r>
      <w:r w:rsidR="00BF6B84">
        <w:rPr>
          <w:rStyle w:val="a9"/>
          <w:b w:val="0"/>
          <w:bCs w:val="0"/>
        </w:rPr>
        <w:t xml:space="preserve">                      </w:t>
      </w:r>
      <w:r w:rsidR="001D6E53">
        <w:rPr>
          <w:rStyle w:val="a9"/>
          <w:b w:val="0"/>
          <w:bCs w:val="0"/>
        </w:rPr>
        <w:t xml:space="preserve">№ 2258-р, </w:t>
      </w:r>
      <w:r w:rsidR="001667A6">
        <w:rPr>
          <w:rStyle w:val="a9"/>
          <w:b w:val="0"/>
          <w:bCs w:val="0"/>
        </w:rPr>
        <w:t>Р</w:t>
      </w:r>
      <w:r w:rsidR="001D6E53">
        <w:rPr>
          <w:rStyle w:val="a9"/>
          <w:b w:val="0"/>
          <w:bCs w:val="0"/>
        </w:rPr>
        <w:t xml:space="preserve">аспоряжением Губернатора Чукотского автономного округа </w:t>
      </w:r>
      <w:r w:rsidR="00B91735">
        <w:rPr>
          <w:rStyle w:val="a9"/>
          <w:b w:val="0"/>
          <w:bCs w:val="0"/>
        </w:rPr>
        <w:t xml:space="preserve">от 18 февраля 2019 года № 73-рг «О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Чукотского автономного округа» и </w:t>
      </w:r>
      <w:r w:rsidR="001667A6">
        <w:rPr>
          <w:rStyle w:val="a9"/>
          <w:b w:val="0"/>
          <w:bCs w:val="0"/>
        </w:rPr>
        <w:t>П</w:t>
      </w:r>
      <w:r w:rsidR="00B91735">
        <w:rPr>
          <w:rStyle w:val="a9"/>
          <w:b w:val="0"/>
          <w:bCs w:val="0"/>
        </w:rPr>
        <w:t xml:space="preserve">риказом Департамента от 27 февраля 2019 года № 325 «О системе внутреннего обеспечения соответствия требованиям антимонопольного законодательства в Департаменте социальной политики Чукотского </w:t>
      </w:r>
      <w:r w:rsidR="00A56E16">
        <w:rPr>
          <w:rStyle w:val="a9"/>
          <w:b w:val="0"/>
          <w:bCs w:val="0"/>
        </w:rPr>
        <w:t>автономного</w:t>
      </w:r>
      <w:r w:rsidR="00B91735">
        <w:rPr>
          <w:rStyle w:val="a9"/>
          <w:b w:val="0"/>
          <w:bCs w:val="0"/>
        </w:rPr>
        <w:t xml:space="preserve"> округа»</w:t>
      </w:r>
      <w:r w:rsidR="00A56E16">
        <w:rPr>
          <w:rStyle w:val="a9"/>
          <w:b w:val="0"/>
          <w:bCs w:val="0"/>
        </w:rPr>
        <w:t>.</w:t>
      </w:r>
    </w:p>
    <w:p w:rsidR="009F7DEF" w:rsidRDefault="00645121" w:rsidP="006E4FD9">
      <w:pPr>
        <w:pStyle w:val="1"/>
        <w:shd w:val="clear" w:color="auto" w:fill="auto"/>
        <w:spacing w:after="0" w:line="240" w:lineRule="auto"/>
        <w:ind w:firstLineChars="276" w:firstLine="718"/>
        <w:jc w:val="both"/>
      </w:pPr>
      <w:r>
        <w:t>Функции по организации и функционированию антимонопольного комплаенса в Департаменте возложены на отдел административно-организационной и правовой работы Департамента.</w:t>
      </w:r>
    </w:p>
    <w:p w:rsidR="00BF6B84" w:rsidRDefault="00645121" w:rsidP="006E4FD9">
      <w:pPr>
        <w:pStyle w:val="1"/>
        <w:shd w:val="clear" w:color="auto" w:fill="auto"/>
        <w:spacing w:after="0" w:line="240" w:lineRule="auto"/>
        <w:ind w:firstLineChars="276" w:firstLine="718"/>
        <w:jc w:val="both"/>
      </w:pPr>
      <w:r>
        <w:t>Оценка эффективности организации и функционирования антимонопольного комплаенса в Департаменте осуществляется Коллегиальным органом, состав которо</w:t>
      </w:r>
      <w:r w:rsidR="00985400">
        <w:t>го</w:t>
      </w:r>
      <w:r>
        <w:t xml:space="preserve"> </w:t>
      </w:r>
      <w:r w:rsidR="006E2F42">
        <w:t>утверждён</w:t>
      </w:r>
      <w:r>
        <w:t xml:space="preserve"> </w:t>
      </w:r>
      <w:r w:rsidR="00BF6B84">
        <w:t>П</w:t>
      </w:r>
      <w:r>
        <w:t>риказом</w:t>
      </w:r>
      <w:r w:rsidR="00985400">
        <w:t xml:space="preserve"> Департамента</w:t>
      </w:r>
      <w:r>
        <w:t xml:space="preserve"> </w:t>
      </w:r>
      <w:r w:rsidRPr="00022ED9">
        <w:rPr>
          <w:color w:val="auto"/>
        </w:rPr>
        <w:t xml:space="preserve">от </w:t>
      </w:r>
      <w:r w:rsidR="00BF6B84" w:rsidRPr="00022ED9">
        <w:rPr>
          <w:color w:val="auto"/>
        </w:rPr>
        <w:t xml:space="preserve">20 марта </w:t>
      </w:r>
      <w:r w:rsidRPr="00022ED9">
        <w:rPr>
          <w:color w:val="auto"/>
        </w:rPr>
        <w:t>20</w:t>
      </w:r>
      <w:r w:rsidR="00BF6B84" w:rsidRPr="00022ED9">
        <w:rPr>
          <w:color w:val="auto"/>
        </w:rPr>
        <w:t xml:space="preserve">23 </w:t>
      </w:r>
      <w:r w:rsidRPr="00022ED9">
        <w:rPr>
          <w:color w:val="auto"/>
        </w:rPr>
        <w:t xml:space="preserve">года № </w:t>
      </w:r>
      <w:r w:rsidR="00BF6B84" w:rsidRPr="00022ED9">
        <w:rPr>
          <w:color w:val="auto"/>
        </w:rPr>
        <w:t>24</w:t>
      </w:r>
      <w:r w:rsidRPr="00022ED9">
        <w:rPr>
          <w:color w:val="auto"/>
        </w:rPr>
        <w:t>5 «</w:t>
      </w:r>
      <w:r>
        <w:t>Об утверждении состава Коллегиального органа, осуществляющего оценку эффективности организации и функционирования системы внутреннего обеспечения соответствия требованиям антимонопольного законодательства в Департаменте социальной политики Чукотского автономного округа».</w:t>
      </w:r>
    </w:p>
    <w:p w:rsidR="00A56E16" w:rsidRPr="003158F8" w:rsidRDefault="00E12454" w:rsidP="006E4FD9">
      <w:pPr>
        <w:pStyle w:val="1"/>
        <w:shd w:val="clear" w:color="auto" w:fill="auto"/>
        <w:spacing w:after="0" w:line="240" w:lineRule="auto"/>
        <w:ind w:firstLineChars="276" w:firstLine="718"/>
        <w:jc w:val="both"/>
      </w:pPr>
      <w:r>
        <w:t>О</w:t>
      </w:r>
      <w:r w:rsidR="00A56E16">
        <w:t>ткрытост</w:t>
      </w:r>
      <w:r>
        <w:t>ь</w:t>
      </w:r>
      <w:r w:rsidR="00A56E16">
        <w:t xml:space="preserve"> и доступ</w:t>
      </w:r>
      <w:r w:rsidR="00BF6B84">
        <w:t>ность</w:t>
      </w:r>
      <w:r w:rsidR="00A56E16">
        <w:t xml:space="preserve"> информации об </w:t>
      </w:r>
      <w:r>
        <w:t xml:space="preserve">осуществлении антимонопольного комплаенса в Департаменте реализуется </w:t>
      </w:r>
      <w:r w:rsidR="008F617A">
        <w:t xml:space="preserve">посредством размещения </w:t>
      </w:r>
      <w:r w:rsidR="00BF6B84">
        <w:t xml:space="preserve">соответствующей </w:t>
      </w:r>
      <w:r w:rsidR="008F617A">
        <w:t xml:space="preserve">информации </w:t>
      </w:r>
      <w:r w:rsidR="00BF6B84">
        <w:t xml:space="preserve">на сайте Департамента </w:t>
      </w:r>
      <w:r w:rsidR="008F617A">
        <w:t>в информационно-телекоммуникационной сети «Интернет»</w:t>
      </w:r>
      <w:r w:rsidR="00BF6B84">
        <w:t xml:space="preserve"> по адресу: </w:t>
      </w:r>
      <w:r w:rsidR="00BF6B84" w:rsidRPr="00BF6B84">
        <w:t>https://чукотка.рф/depsocpol/activity/antimonopolnyy-komplaens/</w:t>
      </w:r>
      <w:r w:rsidR="00BF6B84">
        <w:t>,</w:t>
      </w:r>
      <w:r w:rsidR="003158F8">
        <w:t xml:space="preserve"> </w:t>
      </w:r>
      <w:r w:rsidR="00BF6B84">
        <w:t xml:space="preserve">где </w:t>
      </w:r>
      <w:r w:rsidR="003158F8">
        <w:t>размещаются все документы, принятые в целях организации в Департаменте антимонопольного комплаенса.</w:t>
      </w:r>
    </w:p>
    <w:p w:rsidR="009F7DEF" w:rsidRDefault="009F7DEF" w:rsidP="006E4FD9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9F7DEF" w:rsidRDefault="008E5D82" w:rsidP="006E4FD9">
      <w:pPr>
        <w:pStyle w:val="40"/>
        <w:keepNext/>
        <w:keepLines/>
        <w:shd w:val="clear" w:color="auto" w:fill="auto"/>
        <w:spacing w:line="240" w:lineRule="auto"/>
        <w:ind w:firstLine="0"/>
        <w:jc w:val="center"/>
      </w:pPr>
      <w:bookmarkStart w:id="2" w:name="bookmark4"/>
      <w:r>
        <w:t>2</w:t>
      </w:r>
      <w:r w:rsidR="00645121">
        <w:t xml:space="preserve">. Информация о результатах </w:t>
      </w:r>
      <w:r w:rsidR="006E2F42">
        <w:t>проведённой</w:t>
      </w:r>
      <w:r w:rsidR="00645121">
        <w:t xml:space="preserve"> оценки рисков </w:t>
      </w:r>
    </w:p>
    <w:p w:rsidR="009F7DEF" w:rsidRDefault="00645121" w:rsidP="006E4FD9">
      <w:pPr>
        <w:pStyle w:val="40"/>
        <w:keepNext/>
        <w:keepLines/>
        <w:shd w:val="clear" w:color="auto" w:fill="auto"/>
        <w:spacing w:line="240" w:lineRule="auto"/>
        <w:ind w:firstLine="0"/>
        <w:jc w:val="center"/>
      </w:pPr>
      <w:r>
        <w:t>нарушения антимонопольного законодательства</w:t>
      </w:r>
      <w:bookmarkEnd w:id="2"/>
    </w:p>
    <w:p w:rsidR="009F7DEF" w:rsidRDefault="009F7DEF" w:rsidP="006E4FD9">
      <w:pPr>
        <w:pStyle w:val="1"/>
        <w:shd w:val="clear" w:color="auto" w:fill="auto"/>
        <w:spacing w:after="0" w:line="240" w:lineRule="auto"/>
        <w:ind w:left="20" w:right="20" w:firstLine="561"/>
        <w:jc w:val="both"/>
      </w:pPr>
    </w:p>
    <w:p w:rsidR="003A6C14" w:rsidRDefault="00453950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П</w:t>
      </w:r>
      <w:r w:rsidR="009A6BF4">
        <w:rPr>
          <w:rStyle w:val="12"/>
          <w:b w:val="0"/>
          <w:bCs w:val="0"/>
        </w:rPr>
        <w:t>риказом Департамента от 27</w:t>
      </w:r>
      <w:r w:rsidR="00951925">
        <w:rPr>
          <w:rStyle w:val="12"/>
          <w:b w:val="0"/>
          <w:bCs w:val="0"/>
        </w:rPr>
        <w:t xml:space="preserve"> </w:t>
      </w:r>
      <w:r w:rsidR="00E129BC">
        <w:rPr>
          <w:rStyle w:val="12"/>
          <w:b w:val="0"/>
          <w:bCs w:val="0"/>
        </w:rPr>
        <w:t xml:space="preserve">декабря </w:t>
      </w:r>
      <w:r>
        <w:t>20</w:t>
      </w:r>
      <w:r w:rsidR="001667A6">
        <w:t>2</w:t>
      </w:r>
      <w:r w:rsidR="009A6BF4">
        <w:t>4</w:t>
      </w:r>
      <w:r>
        <w:t xml:space="preserve"> года № </w:t>
      </w:r>
      <w:r w:rsidR="009A6BF4">
        <w:t>1737</w:t>
      </w:r>
      <w:r w:rsidR="00E129BC">
        <w:t xml:space="preserve"> </w:t>
      </w:r>
      <w:r>
        <w:t xml:space="preserve">«Об утверждении карты рисков нарушения антимонопольного законодательства Департамента социальной политики Чукотского автономного округа» </w:t>
      </w:r>
      <w:r w:rsidR="003A6C14">
        <w:t xml:space="preserve">была </w:t>
      </w:r>
      <w:r>
        <w:t>утверждена карта рисков нарушения антимонопольного законодательства</w:t>
      </w:r>
      <w:r w:rsidR="003A6C14">
        <w:t xml:space="preserve"> на 202</w:t>
      </w:r>
      <w:r w:rsidR="009A6BF4">
        <w:t>5</w:t>
      </w:r>
      <w:r w:rsidR="003A6C14">
        <w:t xml:space="preserve"> год</w:t>
      </w:r>
      <w:r>
        <w:t xml:space="preserve">. </w:t>
      </w:r>
      <w:r w:rsidR="001E1C83">
        <w:t xml:space="preserve">В целях выявления и оценки возможных рисков нарушения антимонопольного законодательства Департаментом </w:t>
      </w:r>
      <w:r w:rsidR="003A6C14">
        <w:t xml:space="preserve">осуществлялся </w:t>
      </w:r>
      <w:r w:rsidR="00EF57D9">
        <w:t xml:space="preserve">ряд </w:t>
      </w:r>
      <w:r w:rsidR="001E1C83">
        <w:t>мероприятий, в частности</w:t>
      </w:r>
      <w:r w:rsidR="00244CA2">
        <w:t>,</w:t>
      </w:r>
      <w:r w:rsidR="00244CA2" w:rsidRPr="00244CA2">
        <w:t xml:space="preserve"> </w:t>
      </w:r>
      <w:r w:rsidR="00244CA2">
        <w:t>от структурных подразделений Департамента</w:t>
      </w:r>
      <w:r w:rsidR="003A6C14">
        <w:t xml:space="preserve"> </w:t>
      </w:r>
      <w:r w:rsidR="001E1C83">
        <w:t>собиралась информация о наличии ил</w:t>
      </w:r>
      <w:r w:rsidR="00244CA2">
        <w:t xml:space="preserve">и возможности возникновения нарушений антимонопольного законодательства, о их </w:t>
      </w:r>
      <w:r w:rsidR="001667A6">
        <w:t>причинах и</w:t>
      </w:r>
      <w:r w:rsidR="00244CA2">
        <w:t xml:space="preserve"> условиях возникновения</w:t>
      </w:r>
      <w:r w:rsidR="003A6C14">
        <w:t xml:space="preserve"> (возможного возникновения)</w:t>
      </w:r>
      <w:r w:rsidR="00244CA2">
        <w:t>, а также предложения по их устранению</w:t>
      </w:r>
      <w:r w:rsidR="003A6C14">
        <w:t xml:space="preserve"> (недопущению)</w:t>
      </w:r>
      <w:r w:rsidR="00244CA2">
        <w:t>.</w:t>
      </w:r>
    </w:p>
    <w:p w:rsidR="001667A6" w:rsidRDefault="00244CA2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В качестве ключевых источников информации для выявления рисков нарушения антимонопольного законодательства в Департаменте использовался:</w:t>
      </w:r>
    </w:p>
    <w:p w:rsidR="001667A6" w:rsidRDefault="00244CA2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анализ нарушений антимонопольного законодательства в деятельности Департамента;</w:t>
      </w:r>
    </w:p>
    <w:p w:rsidR="001667A6" w:rsidRDefault="00244CA2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анализ нормативных правовых актов и проектов нормативных п</w:t>
      </w:r>
      <w:r w:rsidR="00453950">
        <w:t>равовых актов Департамента;</w:t>
      </w:r>
    </w:p>
    <w:p w:rsidR="001667A6" w:rsidRDefault="00453950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мониторинг и анализ практики применения Департаментом антимонопольного законодательства.</w:t>
      </w:r>
    </w:p>
    <w:p w:rsidR="001667A6" w:rsidRDefault="00453950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 xml:space="preserve">По результатам </w:t>
      </w:r>
      <w:r w:rsidR="006E2F42">
        <w:t>проведённых</w:t>
      </w:r>
      <w:r>
        <w:t xml:space="preserve"> мероприятий оценки рисков нарушения антимонопольного законодательства в Департаменте, нарушений </w:t>
      </w:r>
      <w:r w:rsidR="008E5D82">
        <w:t xml:space="preserve">за прошедший год </w:t>
      </w:r>
      <w:r>
        <w:t>не выявлено:</w:t>
      </w:r>
    </w:p>
    <w:p w:rsidR="008E5D82" w:rsidRDefault="00453950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дел по вопросам нарушений Департаментом норм антимонопольного законодательства в судебных инстанциях за указанный период не рассматривалось, жалоб по указанным вопросам не поступало;</w:t>
      </w:r>
    </w:p>
    <w:p w:rsidR="008E5D82" w:rsidRDefault="00453950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анализ нормативных правовых актов Департамента показал их соответствие антимонопольному законодательству, и отсутствие необходимости внесения в них связанных с этим изменений;</w:t>
      </w:r>
    </w:p>
    <w:p w:rsidR="00453950" w:rsidRDefault="00453950" w:rsidP="006E4FD9">
      <w:pPr>
        <w:pStyle w:val="1"/>
        <w:shd w:val="clear" w:color="auto" w:fill="auto"/>
        <w:spacing w:after="0" w:line="240" w:lineRule="auto"/>
        <w:ind w:firstLine="709"/>
        <w:jc w:val="both"/>
      </w:pPr>
      <w:r>
        <w:t>нарушений антимонопольного законодательства в процессе осуществления сотрудниками Департамента своих должностных обязанностей не выявлено.</w:t>
      </w:r>
    </w:p>
    <w:p w:rsidR="00453950" w:rsidRDefault="00453950" w:rsidP="006E4FD9">
      <w:pPr>
        <w:pStyle w:val="1"/>
        <w:shd w:val="clear" w:color="auto" w:fill="auto"/>
        <w:spacing w:after="0" w:line="240" w:lineRule="auto"/>
        <w:ind w:firstLine="500"/>
        <w:jc w:val="both"/>
      </w:pPr>
    </w:p>
    <w:p w:rsidR="009F7DEF" w:rsidRDefault="008E5D82" w:rsidP="006E4FD9">
      <w:pPr>
        <w:pStyle w:val="40"/>
        <w:keepNext/>
        <w:keepLines/>
        <w:shd w:val="clear" w:color="auto" w:fill="auto"/>
        <w:spacing w:line="240" w:lineRule="auto"/>
        <w:ind w:firstLine="500"/>
        <w:jc w:val="center"/>
      </w:pPr>
      <w:bookmarkStart w:id="3" w:name="bookmark5"/>
      <w:r>
        <w:t>3</w:t>
      </w:r>
      <w:r w:rsidR="00645121">
        <w:t>. Информация об исполнении мероприятий по снижению рисков нарушения антимонопольного законодательства</w:t>
      </w:r>
      <w:bookmarkEnd w:id="3"/>
    </w:p>
    <w:p w:rsidR="009F7DEF" w:rsidRDefault="009F7DEF" w:rsidP="006E4FD9">
      <w:pPr>
        <w:pStyle w:val="1"/>
        <w:shd w:val="clear" w:color="auto" w:fill="auto"/>
        <w:spacing w:after="0" w:line="240" w:lineRule="auto"/>
        <w:jc w:val="both"/>
      </w:pPr>
    </w:p>
    <w:p w:rsidR="007C6045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t xml:space="preserve">В целях снижения рисков нарушения антимонопольного законодательства </w:t>
      </w:r>
      <w:r w:rsidR="00401675">
        <w:rPr>
          <w:rStyle w:val="12"/>
          <w:b w:val="0"/>
          <w:bCs w:val="0"/>
        </w:rPr>
        <w:t>П</w:t>
      </w:r>
      <w:r w:rsidR="00DD20A4">
        <w:rPr>
          <w:rStyle w:val="12"/>
          <w:b w:val="0"/>
          <w:bCs w:val="0"/>
        </w:rPr>
        <w:t>риказом Д</w:t>
      </w:r>
      <w:r>
        <w:rPr>
          <w:rStyle w:val="12"/>
          <w:b w:val="0"/>
          <w:bCs w:val="0"/>
        </w:rPr>
        <w:t>епартамента от</w:t>
      </w:r>
      <w:r w:rsidR="00DD20A4">
        <w:rPr>
          <w:rStyle w:val="12"/>
          <w:b w:val="0"/>
          <w:bCs w:val="0"/>
        </w:rPr>
        <w:t xml:space="preserve"> </w:t>
      </w:r>
      <w:r w:rsidR="009A6BF4">
        <w:rPr>
          <w:rStyle w:val="12"/>
          <w:b w:val="0"/>
          <w:bCs w:val="0"/>
        </w:rPr>
        <w:t>27</w:t>
      </w:r>
      <w:r w:rsidR="00DD20A4">
        <w:t xml:space="preserve"> декабря </w:t>
      </w:r>
      <w:r>
        <w:t>20</w:t>
      </w:r>
      <w:r w:rsidR="00E129BC">
        <w:t>2</w:t>
      </w:r>
      <w:r w:rsidR="009A6BF4">
        <w:t>4</w:t>
      </w:r>
      <w:r w:rsidR="00E129BC">
        <w:t xml:space="preserve"> </w:t>
      </w:r>
      <w:r w:rsidR="00DD20A4">
        <w:t>года</w:t>
      </w:r>
      <w:r>
        <w:t xml:space="preserve"> № </w:t>
      </w:r>
      <w:r w:rsidR="009A6BF4">
        <w:t>1737</w:t>
      </w:r>
      <w:r w:rsidR="00E129BC">
        <w:t xml:space="preserve"> </w:t>
      </w:r>
      <w:r>
        <w:t xml:space="preserve">«Об утверждении плана мероприятий («дорожная карта») по снижению рисков нарушения антимонопольного законодательства Департамента социальной политики Чукотского автономного округа» </w:t>
      </w:r>
      <w:r w:rsidR="006E2F42">
        <w:t>утверждён</w:t>
      </w:r>
      <w:r>
        <w:t xml:space="preserve"> план мероприятий («дорожная карта») по снижению рисков нарушения антимонопольного законодательства</w:t>
      </w:r>
      <w:r w:rsidR="007C6045">
        <w:t xml:space="preserve"> на 202</w:t>
      </w:r>
      <w:r w:rsidR="009A6BF4">
        <w:t>5</w:t>
      </w:r>
      <w:r w:rsidR="007C6045">
        <w:t xml:space="preserve"> год </w:t>
      </w:r>
      <w:r>
        <w:t xml:space="preserve">(далее </w:t>
      </w:r>
      <w:r w:rsidR="00E129BC">
        <w:t>–</w:t>
      </w:r>
      <w:r>
        <w:t xml:space="preserve"> дорожная карта).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t>Во исполнение дорожной карты Департаментом осуществля</w:t>
      </w:r>
      <w:r w:rsidR="007C6045">
        <w:t xml:space="preserve">лся </w:t>
      </w:r>
      <w:r>
        <w:t xml:space="preserve">комплекс мероприятий, направленных на минимизацию и устранение рисков </w:t>
      </w:r>
      <w:r w:rsidR="007C6045">
        <w:t xml:space="preserve">возникновения </w:t>
      </w:r>
      <w:r>
        <w:t>нарушени</w:t>
      </w:r>
      <w:r w:rsidR="007C6045">
        <w:t>й</w:t>
      </w:r>
      <w:r>
        <w:t xml:space="preserve"> антимонопольного законодательства, в том числе: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lastRenderedPageBreak/>
        <w:t xml:space="preserve">участие в мероприятиях в формате обсуждений изменений Федерального закона от </w:t>
      </w:r>
      <w:r w:rsidR="00DD20A4">
        <w:t xml:space="preserve">5 апреля </w:t>
      </w:r>
      <w:r>
        <w:t>2013</w:t>
      </w:r>
      <w:r w:rsidR="00DD20A4">
        <w:t xml:space="preserve"> года</w:t>
      </w:r>
      <w: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7C6045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t>мониторинг и анализ изменений, вносимых в законодательство о контрактной системе в сфере закупок;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t>мониторинг и анализ применения антимонопольного законодательства;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t>принятие мер, исключающих доступ хозяйствующих субъектов к информации в приоритетном порядке;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</w:pPr>
      <w:r>
        <w:t>принятие мер по недопущению конфликта интересов,</w:t>
      </w:r>
      <w:r w:rsidR="00E129BC">
        <w:t xml:space="preserve"> </w:t>
      </w:r>
      <w:r>
        <w:t>согласованных действий, ущемляющих права хозяйствующих субъектов;</w:t>
      </w:r>
    </w:p>
    <w:p w:rsidR="009F7DEF" w:rsidRDefault="00645121" w:rsidP="006E4FD9">
      <w:pPr>
        <w:pStyle w:val="1"/>
        <w:shd w:val="clear" w:color="auto" w:fill="auto"/>
        <w:spacing w:after="0" w:line="240" w:lineRule="auto"/>
        <w:ind w:left="40" w:right="40" w:firstLine="669"/>
        <w:jc w:val="both"/>
        <w:rPr>
          <w:color w:val="0000FF"/>
        </w:rPr>
      </w:pPr>
      <w:r>
        <w:t xml:space="preserve">контроль со стороны руководства </w:t>
      </w:r>
      <w:r w:rsidR="00E129BC">
        <w:t xml:space="preserve">Департамента </w:t>
      </w:r>
      <w:r>
        <w:t>за соблюдением требований законодательства в сфере закупок.</w:t>
      </w:r>
    </w:p>
    <w:p w:rsidR="009F7DEF" w:rsidRDefault="009F7DEF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</w:p>
    <w:p w:rsidR="009F7DEF" w:rsidRDefault="000869BC" w:rsidP="006E4FD9">
      <w:pPr>
        <w:pStyle w:val="40"/>
        <w:keepNext/>
        <w:keepLines/>
        <w:shd w:val="clear" w:color="auto" w:fill="auto"/>
        <w:spacing w:line="240" w:lineRule="auto"/>
        <w:ind w:firstLine="0"/>
        <w:jc w:val="center"/>
      </w:pPr>
      <w:bookmarkStart w:id="4" w:name="bookmark6"/>
      <w:r>
        <w:t>4</w:t>
      </w:r>
      <w:r w:rsidR="00645121">
        <w:t>. Информация о достижении ключевых показателей эффективности антимонопольного комплаенса</w:t>
      </w:r>
      <w:bookmarkEnd w:id="4"/>
    </w:p>
    <w:p w:rsidR="009F7DEF" w:rsidRDefault="009F7DEF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</w:p>
    <w:p w:rsidR="007C6045" w:rsidRDefault="00645121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  <w:r>
        <w:t>В целях оценки эффективности функционирования антимонопольного комплаенса</w:t>
      </w:r>
      <w:r>
        <w:rPr>
          <w:rStyle w:val="21"/>
          <w:b w:val="0"/>
          <w:bCs w:val="0"/>
        </w:rPr>
        <w:t xml:space="preserve"> </w:t>
      </w:r>
      <w:r w:rsidR="00401675">
        <w:rPr>
          <w:rStyle w:val="21"/>
          <w:b w:val="0"/>
          <w:bCs w:val="0"/>
        </w:rPr>
        <w:t>П</w:t>
      </w:r>
      <w:r>
        <w:rPr>
          <w:rStyle w:val="21"/>
          <w:b w:val="0"/>
          <w:bCs w:val="0"/>
        </w:rPr>
        <w:t xml:space="preserve">риказом Департамента от </w:t>
      </w:r>
      <w:r w:rsidR="009A6BF4">
        <w:rPr>
          <w:rStyle w:val="21"/>
          <w:b w:val="0"/>
          <w:bCs w:val="0"/>
        </w:rPr>
        <w:t>27</w:t>
      </w:r>
      <w:r w:rsidR="00E129BC">
        <w:rPr>
          <w:rStyle w:val="21"/>
          <w:b w:val="0"/>
          <w:bCs w:val="0"/>
        </w:rPr>
        <w:t xml:space="preserve"> декабря </w:t>
      </w:r>
      <w:r>
        <w:rPr>
          <w:rStyle w:val="21"/>
          <w:b w:val="0"/>
          <w:bCs w:val="0"/>
        </w:rPr>
        <w:t>20</w:t>
      </w:r>
      <w:r w:rsidR="00E129BC">
        <w:rPr>
          <w:rStyle w:val="21"/>
          <w:b w:val="0"/>
          <w:bCs w:val="0"/>
        </w:rPr>
        <w:t>2</w:t>
      </w:r>
      <w:r w:rsidR="009A6BF4">
        <w:rPr>
          <w:rStyle w:val="21"/>
          <w:b w:val="0"/>
          <w:bCs w:val="0"/>
        </w:rPr>
        <w:t>4</w:t>
      </w:r>
      <w:r w:rsidR="006704AA">
        <w:rPr>
          <w:rStyle w:val="21"/>
          <w:b w:val="0"/>
          <w:bCs w:val="0"/>
        </w:rPr>
        <w:t xml:space="preserve"> года</w:t>
      </w:r>
      <w:r w:rsidR="00E129BC">
        <w:rPr>
          <w:rStyle w:val="21"/>
          <w:b w:val="0"/>
          <w:bCs w:val="0"/>
        </w:rPr>
        <w:t xml:space="preserve"> </w:t>
      </w:r>
      <w:r>
        <w:rPr>
          <w:rStyle w:val="21"/>
          <w:b w:val="0"/>
          <w:bCs w:val="0"/>
        </w:rPr>
        <w:t xml:space="preserve">№ </w:t>
      </w:r>
      <w:r w:rsidR="00E129BC">
        <w:rPr>
          <w:rStyle w:val="21"/>
          <w:b w:val="0"/>
          <w:bCs w:val="0"/>
        </w:rPr>
        <w:t>1</w:t>
      </w:r>
      <w:r w:rsidR="009A6BF4">
        <w:rPr>
          <w:rStyle w:val="21"/>
          <w:b w:val="0"/>
          <w:bCs w:val="0"/>
        </w:rPr>
        <w:t>737</w:t>
      </w:r>
      <w:r w:rsidR="00BA1B78">
        <w:rPr>
          <w:rStyle w:val="21"/>
          <w:b w:val="0"/>
          <w:bCs w:val="0"/>
        </w:rPr>
        <w:t xml:space="preserve"> </w:t>
      </w:r>
      <w:r>
        <w:t>«</w:t>
      </w:r>
      <w:r w:rsidR="00E129BC" w:rsidRPr="00EC6951">
        <w:t>Об утверждении ключевых показателей эффективности функционирования антимонопольного комплаенса в Департаменте социальной политики Чукотского автономного округа и Методики их оценки</w:t>
      </w:r>
      <w:r>
        <w:t xml:space="preserve">» (далее </w:t>
      </w:r>
      <w:r w:rsidR="00E129BC">
        <w:t>–</w:t>
      </w:r>
      <w:r>
        <w:t xml:space="preserve"> </w:t>
      </w:r>
      <w:r w:rsidR="00401675">
        <w:t>П</w:t>
      </w:r>
      <w:r>
        <w:t xml:space="preserve">риказ № </w:t>
      </w:r>
      <w:r w:rsidR="00E129BC">
        <w:t>1</w:t>
      </w:r>
      <w:r w:rsidR="009A6BF4">
        <w:t>737</w:t>
      </w:r>
      <w:r>
        <w:t xml:space="preserve">) утверждены ключевые показатели эффективности функционирования в Департаменте </w:t>
      </w:r>
      <w:r w:rsidR="00E129BC">
        <w:t xml:space="preserve">антимонопольного </w:t>
      </w:r>
      <w:r>
        <w:t>комплаенса и методика расч</w:t>
      </w:r>
      <w:r w:rsidR="006E2F42">
        <w:t>ё</w:t>
      </w:r>
      <w:r>
        <w:t>та ключевых показателей</w:t>
      </w:r>
      <w:r w:rsidR="007C6045">
        <w:t xml:space="preserve"> на 202</w:t>
      </w:r>
      <w:r w:rsidR="009A6BF4">
        <w:t>5</w:t>
      </w:r>
      <w:r w:rsidR="007C6045">
        <w:t xml:space="preserve"> год</w:t>
      </w:r>
      <w:r>
        <w:t>.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  <w:r>
        <w:t>Ключевыми показателями эффективности антимонопольного комплаенса для Департамента являются: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  <w:r>
        <w:t>коэффициент снижения количества нарушений антимонопольного законодательства со стороны Департамента (по сравнению с предыдущим годом);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  <w:r>
        <w:t>доля проектов нормативных правовых актов Департамента, разработчиком которых является Департамент, в которых выявлены риски нарушения антимонопольного законодательства;</w:t>
      </w:r>
    </w:p>
    <w:p w:rsidR="00E129BC" w:rsidRDefault="00645121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  <w:r>
        <w:t>доля нормативных правовых актов Департамента,</w:t>
      </w:r>
      <w:r w:rsidR="00CB7734">
        <w:t xml:space="preserve"> </w:t>
      </w:r>
      <w:r>
        <w:t>разработчиком которых является Департамент, в которых выявлены риски нарушения антимонопольного законодательства</w:t>
      </w:r>
      <w:r w:rsidR="00E129BC">
        <w:t>.</w:t>
      </w:r>
    </w:p>
    <w:p w:rsidR="00E129BC" w:rsidRDefault="006E2F42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</w:pPr>
      <w:r>
        <w:t>Расчёт</w:t>
      </w:r>
      <w:r w:rsidR="00645121">
        <w:t xml:space="preserve"> оценки эффективности функционирования в Департаменте антимонопольного комплаенса осуществляется в соответствии с Методикой </w:t>
      </w:r>
      <w:r>
        <w:t>расчёта</w:t>
      </w:r>
      <w:r w:rsidR="00645121">
        <w:t xml:space="preserve"> ключевых показателей эффективности функционирования антимонопольного комплаенса, </w:t>
      </w:r>
      <w:r>
        <w:t>утверждённой</w:t>
      </w:r>
      <w:r w:rsidR="00645121">
        <w:t xml:space="preserve"> </w:t>
      </w:r>
      <w:r w:rsidR="00401675">
        <w:t>П</w:t>
      </w:r>
      <w:r w:rsidR="00645121">
        <w:t xml:space="preserve">риказом № </w:t>
      </w:r>
      <w:r w:rsidR="00881BAA">
        <w:t>1</w:t>
      </w:r>
      <w:r w:rsidR="009A6BF4">
        <w:t>737</w:t>
      </w:r>
      <w:r w:rsidR="00645121">
        <w:t>.</w:t>
      </w:r>
    </w:p>
    <w:p w:rsidR="009F7DEF" w:rsidRDefault="00645121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  <w:rPr>
          <w:iCs/>
        </w:rPr>
      </w:pPr>
      <w:r w:rsidRPr="00E129BC">
        <w:rPr>
          <w:iCs/>
        </w:rPr>
        <w:t xml:space="preserve">При </w:t>
      </w:r>
      <w:r w:rsidR="006E2F42" w:rsidRPr="00E129BC">
        <w:rPr>
          <w:iCs/>
        </w:rPr>
        <w:t>расчёте</w:t>
      </w:r>
      <w:r w:rsidRPr="00E129BC">
        <w:rPr>
          <w:iCs/>
        </w:rPr>
        <w:t xml:space="preserve"> коэффициента снижения количества нарушений антимонопольного законодательства</w:t>
      </w:r>
      <w:r w:rsidR="00705470">
        <w:rPr>
          <w:iCs/>
        </w:rPr>
        <w:t xml:space="preserve"> (КСН)</w:t>
      </w:r>
      <w:r w:rsidRPr="00E129BC">
        <w:rPr>
          <w:iCs/>
        </w:rPr>
        <w:t xml:space="preserve"> со стороны</w:t>
      </w:r>
      <w:r w:rsidR="00CB7734" w:rsidRPr="00E129BC">
        <w:rPr>
          <w:iCs/>
        </w:rPr>
        <w:t xml:space="preserve"> </w:t>
      </w:r>
      <w:r w:rsidRPr="00E129BC">
        <w:rPr>
          <w:iCs/>
        </w:rPr>
        <w:t>Департамента</w:t>
      </w:r>
      <w:r w:rsidR="006E4FD9">
        <w:rPr>
          <w:iCs/>
        </w:rPr>
        <w:t xml:space="preserve"> </w:t>
      </w:r>
      <w:r w:rsidRPr="00E129BC">
        <w:rPr>
          <w:iCs/>
        </w:rPr>
        <w:t>(по сравнению с предыдущим годом) применена формула:</w:t>
      </w:r>
    </w:p>
    <w:p w:rsidR="006E4FD9" w:rsidRPr="006E4FD9" w:rsidRDefault="006E4FD9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  <w:rPr>
          <w:iCs/>
          <w:sz w:val="16"/>
          <w:szCs w:val="16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851"/>
      </w:tblGrid>
      <w:tr w:rsidR="006E4FD9" w:rsidTr="006E4FD9">
        <w:tc>
          <w:tcPr>
            <w:tcW w:w="1134" w:type="dxa"/>
            <w:vMerge w:val="restart"/>
            <w:vAlign w:val="center"/>
          </w:tcPr>
          <w:p w:rsidR="006E4FD9" w:rsidRDefault="006E4FD9" w:rsidP="006E4FD9">
            <w:pPr>
              <w:pStyle w:val="1"/>
              <w:shd w:val="clear" w:color="auto" w:fill="auto"/>
              <w:spacing w:after="0" w:line="240" w:lineRule="auto"/>
              <w:ind w:right="40"/>
              <w:jc w:val="right"/>
              <w:rPr>
                <w:iCs/>
              </w:rPr>
            </w:pPr>
            <w:r>
              <w:rPr>
                <w:iCs/>
              </w:rPr>
              <w:t>КСН =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4FD9" w:rsidRDefault="006E4FD9" w:rsidP="006E4FD9">
            <w:pPr>
              <w:pStyle w:val="1"/>
              <w:shd w:val="clear" w:color="auto" w:fill="auto"/>
              <w:spacing w:after="0" w:line="240" w:lineRule="auto"/>
              <w:ind w:right="40"/>
              <w:rPr>
                <w:iCs/>
              </w:rPr>
            </w:pPr>
            <w:r>
              <w:rPr>
                <w:iCs/>
              </w:rPr>
              <w:t>КН</w:t>
            </w:r>
            <w:r w:rsidRPr="006E4FD9">
              <w:rPr>
                <w:iCs/>
                <w:vertAlign w:val="subscript"/>
              </w:rPr>
              <w:t>пг</w:t>
            </w:r>
          </w:p>
        </w:tc>
        <w:tc>
          <w:tcPr>
            <w:tcW w:w="851" w:type="dxa"/>
            <w:vMerge w:val="restart"/>
            <w:vAlign w:val="center"/>
          </w:tcPr>
          <w:p w:rsidR="006E4FD9" w:rsidRDefault="006E4FD9" w:rsidP="006E4FD9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iCs/>
              </w:rPr>
            </w:pPr>
            <w:r>
              <w:rPr>
                <w:iCs/>
              </w:rPr>
              <w:t>, где:</w:t>
            </w:r>
          </w:p>
        </w:tc>
      </w:tr>
      <w:tr w:rsidR="006E4FD9" w:rsidTr="006E4FD9">
        <w:tc>
          <w:tcPr>
            <w:tcW w:w="1134" w:type="dxa"/>
            <w:vMerge/>
          </w:tcPr>
          <w:p w:rsidR="006E4FD9" w:rsidRDefault="006E4FD9" w:rsidP="006E4FD9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4FD9" w:rsidRDefault="006E4FD9" w:rsidP="006E4FD9">
            <w:pPr>
              <w:pStyle w:val="1"/>
              <w:shd w:val="clear" w:color="auto" w:fill="auto"/>
              <w:spacing w:after="0" w:line="240" w:lineRule="auto"/>
              <w:ind w:right="40"/>
              <w:rPr>
                <w:iCs/>
              </w:rPr>
            </w:pPr>
            <w:r>
              <w:rPr>
                <w:iCs/>
              </w:rPr>
              <w:t>КН</w:t>
            </w:r>
            <w:r w:rsidRPr="006E4FD9">
              <w:rPr>
                <w:iCs/>
                <w:vertAlign w:val="subscript"/>
              </w:rPr>
              <w:t>оп</w:t>
            </w:r>
          </w:p>
        </w:tc>
        <w:tc>
          <w:tcPr>
            <w:tcW w:w="851" w:type="dxa"/>
            <w:vMerge/>
          </w:tcPr>
          <w:p w:rsidR="006E4FD9" w:rsidRDefault="006E4FD9" w:rsidP="006E4FD9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iCs/>
              </w:rPr>
            </w:pPr>
          </w:p>
        </w:tc>
      </w:tr>
    </w:tbl>
    <w:p w:rsidR="006E4FD9" w:rsidRPr="006E4FD9" w:rsidRDefault="006E4FD9" w:rsidP="006E4FD9">
      <w:pPr>
        <w:pStyle w:val="1"/>
        <w:shd w:val="clear" w:color="auto" w:fill="auto"/>
        <w:spacing w:after="0" w:line="240" w:lineRule="auto"/>
        <w:ind w:left="40" w:right="40" w:firstLine="580"/>
        <w:jc w:val="both"/>
        <w:rPr>
          <w:iCs/>
          <w:sz w:val="16"/>
          <w:szCs w:val="16"/>
        </w:rPr>
      </w:pPr>
    </w:p>
    <w:p w:rsidR="006E4FD9" w:rsidRDefault="00645121" w:rsidP="006E4FD9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пг</w:t>
      </w:r>
      <w:r w:rsidR="006E4FD9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6E4FD9">
        <w:rPr>
          <w:rFonts w:ascii="Times New Roman" w:hAnsi="Times New Roman" w:cs="Times New Roman"/>
          <w:sz w:val="26"/>
          <w:szCs w:val="26"/>
        </w:rPr>
        <w:t>–</w:t>
      </w:r>
      <w:r w:rsidR="006E4FD9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количество нарушений антимонопольного законодательства со стороны </w:t>
      </w:r>
      <w:r w:rsidR="00B04114">
        <w:rPr>
          <w:rFonts w:ascii="Times New Roman" w:hAnsi="Times New Roman" w:cs="Times New Roman"/>
          <w:sz w:val="26"/>
          <w:szCs w:val="26"/>
        </w:rPr>
        <w:t>Департамента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B04114">
        <w:rPr>
          <w:rFonts w:ascii="Times New Roman" w:hAnsi="Times New Roman" w:cs="Times New Roman"/>
          <w:sz w:val="26"/>
          <w:szCs w:val="26"/>
        </w:rPr>
        <w:t>20</w:t>
      </w:r>
      <w:r w:rsidR="006E4FD9">
        <w:rPr>
          <w:rFonts w:ascii="Times New Roman" w:hAnsi="Times New Roman" w:cs="Times New Roman"/>
          <w:sz w:val="26"/>
          <w:szCs w:val="26"/>
        </w:rPr>
        <w:t>2</w:t>
      </w:r>
      <w:r w:rsidR="009A6BF4">
        <w:rPr>
          <w:rFonts w:ascii="Times New Roman" w:hAnsi="Times New Roman" w:cs="Times New Roman"/>
          <w:sz w:val="26"/>
          <w:szCs w:val="26"/>
        </w:rPr>
        <w:t>4</w:t>
      </w:r>
      <w:r w:rsidR="00B04114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B0411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0.</w:t>
      </w:r>
    </w:p>
    <w:p w:rsidR="009F7DEF" w:rsidRDefault="00645121" w:rsidP="006E4FD9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</w:t>
      </w:r>
      <w:r w:rsidRPr="006E4FD9">
        <w:rPr>
          <w:rFonts w:ascii="Times New Roman" w:hAnsi="Times New Roman" w:cs="Times New Roman"/>
          <w:sz w:val="26"/>
          <w:szCs w:val="26"/>
          <w:vertAlign w:val="subscript"/>
        </w:rPr>
        <w:t>оп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4FD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количество нарушений антимонопольного законодательства со стороны Департамента в </w:t>
      </w:r>
      <w:r w:rsidR="00B04114">
        <w:rPr>
          <w:rFonts w:ascii="Times New Roman" w:hAnsi="Times New Roman" w:cs="Times New Roman"/>
          <w:sz w:val="26"/>
          <w:szCs w:val="26"/>
        </w:rPr>
        <w:t>202</w:t>
      </w:r>
      <w:r w:rsidR="009A6BF4">
        <w:rPr>
          <w:rFonts w:ascii="Times New Roman" w:hAnsi="Times New Roman" w:cs="Times New Roman"/>
          <w:sz w:val="26"/>
          <w:szCs w:val="26"/>
        </w:rPr>
        <w:t>5</w:t>
      </w:r>
      <w:r w:rsidR="00B04114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B0411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  <w:r w:rsidR="00705470">
        <w:rPr>
          <w:rFonts w:ascii="Times New Roman" w:hAnsi="Times New Roman" w:cs="Times New Roman"/>
          <w:sz w:val="26"/>
          <w:szCs w:val="26"/>
        </w:rPr>
        <w:t>.</w:t>
      </w:r>
    </w:p>
    <w:p w:rsidR="006E4FD9" w:rsidRDefault="00645121" w:rsidP="006E4FD9">
      <w:pPr>
        <w:pStyle w:val="1"/>
        <w:shd w:val="clear" w:color="auto" w:fill="auto"/>
        <w:spacing w:after="0" w:line="240" w:lineRule="auto"/>
        <w:ind w:firstLineChars="266" w:firstLine="692"/>
        <w:jc w:val="both"/>
      </w:pPr>
      <w:r>
        <w:lastRenderedPageBreak/>
        <w:t>Таким образом, КСН со стороны Департамента в отч</w:t>
      </w:r>
      <w:r w:rsidR="00705470">
        <w:t>ё</w:t>
      </w:r>
      <w:r>
        <w:t xml:space="preserve">тном периоде (по сравнению с предыдущим годом) </w:t>
      </w:r>
      <w:r w:rsidR="00881BAA">
        <w:t>–</w:t>
      </w:r>
      <w:r w:rsidR="006E4FD9">
        <w:t xml:space="preserve"> </w:t>
      </w:r>
      <w:r>
        <w:t>0.</w:t>
      </w:r>
    </w:p>
    <w:p w:rsidR="009F7DEF" w:rsidRDefault="00645121" w:rsidP="006E4FD9">
      <w:pPr>
        <w:pStyle w:val="1"/>
        <w:shd w:val="clear" w:color="auto" w:fill="auto"/>
        <w:spacing w:after="0" w:line="240" w:lineRule="auto"/>
        <w:ind w:firstLineChars="266" w:firstLine="692"/>
        <w:jc w:val="both"/>
        <w:rPr>
          <w:iCs/>
        </w:rPr>
      </w:pPr>
      <w:r w:rsidRPr="006E4FD9">
        <w:rPr>
          <w:iCs/>
        </w:rPr>
        <w:t>При расч</w:t>
      </w:r>
      <w:r w:rsidR="00705470">
        <w:rPr>
          <w:iCs/>
        </w:rPr>
        <w:t>ё</w:t>
      </w:r>
      <w:r w:rsidRPr="006E4FD9">
        <w:rPr>
          <w:iCs/>
        </w:rPr>
        <w:t>те доли проектов нормативных правовых актов</w:t>
      </w:r>
      <w:r w:rsidR="00705470">
        <w:rPr>
          <w:iCs/>
        </w:rPr>
        <w:t xml:space="preserve"> (Д</w:t>
      </w:r>
      <w:r w:rsidR="00705470">
        <w:rPr>
          <w:iCs/>
          <w:vertAlign w:val="subscript"/>
        </w:rPr>
        <w:t>пн</w:t>
      </w:r>
      <w:r w:rsidR="00705470" w:rsidRPr="00705470">
        <w:rPr>
          <w:iCs/>
          <w:vertAlign w:val="subscript"/>
        </w:rPr>
        <w:t>па</w:t>
      </w:r>
      <w:r w:rsidR="00705470">
        <w:rPr>
          <w:iCs/>
        </w:rPr>
        <w:t>)</w:t>
      </w:r>
      <w:r w:rsidRPr="006E4FD9">
        <w:rPr>
          <w:iCs/>
        </w:rPr>
        <w:t>, разработчиком которых является Департамент, в которых выявлены риски нарушения антимонопольного законодательства, использована формула:</w:t>
      </w:r>
    </w:p>
    <w:p w:rsidR="006E4FD9" w:rsidRPr="006E4FD9" w:rsidRDefault="006E4FD9" w:rsidP="006E4FD9">
      <w:pPr>
        <w:pStyle w:val="1"/>
        <w:shd w:val="clear" w:color="auto" w:fill="auto"/>
        <w:spacing w:after="0" w:line="240" w:lineRule="auto"/>
        <w:ind w:firstLineChars="266" w:firstLine="426"/>
        <w:jc w:val="both"/>
        <w:rPr>
          <w:iCs/>
          <w:sz w:val="16"/>
          <w:szCs w:val="16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851"/>
      </w:tblGrid>
      <w:tr w:rsidR="006E4FD9" w:rsidTr="00E01C01">
        <w:tc>
          <w:tcPr>
            <w:tcW w:w="1134" w:type="dxa"/>
            <w:vMerge w:val="restart"/>
            <w:vAlign w:val="center"/>
          </w:tcPr>
          <w:p w:rsidR="006E4FD9" w:rsidRDefault="006E4FD9" w:rsidP="00E01C01">
            <w:pPr>
              <w:pStyle w:val="1"/>
              <w:shd w:val="clear" w:color="auto" w:fill="auto"/>
              <w:spacing w:after="0" w:line="240" w:lineRule="auto"/>
              <w:ind w:right="40"/>
              <w:jc w:val="right"/>
              <w:rPr>
                <w:iCs/>
              </w:rPr>
            </w:pPr>
            <w:r>
              <w:rPr>
                <w:iCs/>
              </w:rPr>
              <w:t>Д</w:t>
            </w:r>
            <w:r w:rsidRPr="006E4FD9">
              <w:rPr>
                <w:iCs/>
                <w:vertAlign w:val="subscript"/>
              </w:rPr>
              <w:t>пнпа</w:t>
            </w:r>
            <w:r>
              <w:rPr>
                <w:iCs/>
              </w:rPr>
              <w:t xml:space="preserve"> =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4FD9" w:rsidRDefault="006E4FD9" w:rsidP="00E01C01">
            <w:pPr>
              <w:pStyle w:val="1"/>
              <w:shd w:val="clear" w:color="auto" w:fill="auto"/>
              <w:spacing w:after="0" w:line="240" w:lineRule="auto"/>
              <w:ind w:right="40"/>
              <w:rPr>
                <w:iCs/>
              </w:rPr>
            </w:pPr>
            <w:r>
              <w:rPr>
                <w:iCs/>
              </w:rPr>
              <w:t>К</w:t>
            </w:r>
            <w:r>
              <w:rPr>
                <w:iCs/>
                <w:vertAlign w:val="subscript"/>
              </w:rPr>
              <w:t>пнпа</w:t>
            </w:r>
          </w:p>
        </w:tc>
        <w:tc>
          <w:tcPr>
            <w:tcW w:w="851" w:type="dxa"/>
            <w:vMerge w:val="restart"/>
            <w:vAlign w:val="center"/>
          </w:tcPr>
          <w:p w:rsidR="006E4FD9" w:rsidRDefault="006E4FD9" w:rsidP="00E01C01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iCs/>
              </w:rPr>
            </w:pPr>
            <w:r>
              <w:rPr>
                <w:iCs/>
              </w:rPr>
              <w:t>, где:</w:t>
            </w:r>
          </w:p>
        </w:tc>
      </w:tr>
      <w:tr w:rsidR="006E4FD9" w:rsidTr="00E01C01">
        <w:tc>
          <w:tcPr>
            <w:tcW w:w="1134" w:type="dxa"/>
            <w:vMerge/>
          </w:tcPr>
          <w:p w:rsidR="006E4FD9" w:rsidRDefault="006E4FD9" w:rsidP="00E01C01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4FD9" w:rsidRDefault="006E4FD9" w:rsidP="00E01C01">
            <w:pPr>
              <w:pStyle w:val="1"/>
              <w:shd w:val="clear" w:color="auto" w:fill="auto"/>
              <w:spacing w:after="0" w:line="240" w:lineRule="auto"/>
              <w:ind w:right="40"/>
              <w:rPr>
                <w:iCs/>
              </w:rPr>
            </w:pPr>
            <w:r>
              <w:rPr>
                <w:iCs/>
              </w:rPr>
              <w:t>К</w:t>
            </w:r>
            <w:r w:rsidR="00705470">
              <w:rPr>
                <w:iCs/>
                <w:vertAlign w:val="subscript"/>
              </w:rPr>
              <w:t>н</w:t>
            </w:r>
            <w:r w:rsidRPr="006E4FD9">
              <w:rPr>
                <w:iCs/>
                <w:vertAlign w:val="subscript"/>
              </w:rPr>
              <w:t>п</w:t>
            </w:r>
            <w:r w:rsidR="00705470">
              <w:rPr>
                <w:iCs/>
                <w:vertAlign w:val="subscript"/>
              </w:rPr>
              <w:t>а</w:t>
            </w:r>
          </w:p>
        </w:tc>
        <w:tc>
          <w:tcPr>
            <w:tcW w:w="851" w:type="dxa"/>
            <w:vMerge/>
          </w:tcPr>
          <w:p w:rsidR="006E4FD9" w:rsidRDefault="006E4FD9" w:rsidP="00E01C01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iCs/>
              </w:rPr>
            </w:pPr>
          </w:p>
        </w:tc>
      </w:tr>
    </w:tbl>
    <w:p w:rsidR="006E4FD9" w:rsidRPr="006E4FD9" w:rsidRDefault="006E4FD9" w:rsidP="006E4FD9">
      <w:pPr>
        <w:pStyle w:val="1"/>
        <w:shd w:val="clear" w:color="auto" w:fill="auto"/>
        <w:spacing w:after="0" w:line="240" w:lineRule="auto"/>
        <w:ind w:firstLineChars="266" w:firstLine="426"/>
        <w:jc w:val="both"/>
        <w:rPr>
          <w:iCs/>
          <w:sz w:val="16"/>
          <w:szCs w:val="16"/>
        </w:rPr>
      </w:pPr>
    </w:p>
    <w:p w:rsidR="00881BAA" w:rsidRDefault="00645121" w:rsidP="006E4FD9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6E4FD9">
        <w:rPr>
          <w:rFonts w:ascii="Times New Roman" w:hAnsi="Times New Roman" w:cs="Times New Roman"/>
          <w:sz w:val="26"/>
          <w:szCs w:val="26"/>
          <w:vertAlign w:val="subscript"/>
        </w:rPr>
        <w:t>пнпа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4FD9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количество проектов нормативных правовых актов, в которых Департаментом выявлены риски нарушения антимонопольного законодательства в </w:t>
      </w:r>
      <w:r w:rsidR="00B04114">
        <w:rPr>
          <w:rFonts w:ascii="Times New Roman" w:hAnsi="Times New Roman" w:cs="Times New Roman"/>
          <w:sz w:val="26"/>
          <w:szCs w:val="26"/>
        </w:rPr>
        <w:t>202</w:t>
      </w:r>
      <w:r w:rsidR="009A6BF4">
        <w:rPr>
          <w:rFonts w:ascii="Times New Roman" w:hAnsi="Times New Roman" w:cs="Times New Roman"/>
          <w:sz w:val="26"/>
          <w:szCs w:val="26"/>
        </w:rPr>
        <w:t>5</w:t>
      </w:r>
      <w:r w:rsidR="00B04114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411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  <w:r w:rsidR="00881BAA">
        <w:rPr>
          <w:rFonts w:ascii="Times New Roman" w:hAnsi="Times New Roman" w:cs="Times New Roman"/>
          <w:sz w:val="26"/>
          <w:szCs w:val="26"/>
        </w:rPr>
        <w:t>;</w:t>
      </w:r>
    </w:p>
    <w:p w:rsidR="00881BAA" w:rsidRDefault="00645121" w:rsidP="00881BAA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705470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881BAA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="00705470">
        <w:rPr>
          <w:rFonts w:ascii="Times New Roman" w:hAnsi="Times New Roman" w:cs="Times New Roman"/>
          <w:sz w:val="26"/>
          <w:szCs w:val="26"/>
          <w:vertAlign w:val="subscript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1BAA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количество нормативных правовых актов, в которых антимонопольным органом выявлены нарушения антимонопольного законодательства в </w:t>
      </w:r>
      <w:r w:rsidR="00B04114">
        <w:rPr>
          <w:rFonts w:ascii="Times New Roman" w:hAnsi="Times New Roman" w:cs="Times New Roman"/>
          <w:sz w:val="26"/>
          <w:szCs w:val="26"/>
        </w:rPr>
        <w:t>202</w:t>
      </w:r>
      <w:r w:rsidR="009A6BF4">
        <w:rPr>
          <w:rFonts w:ascii="Times New Roman" w:hAnsi="Times New Roman" w:cs="Times New Roman"/>
          <w:sz w:val="26"/>
          <w:szCs w:val="26"/>
        </w:rPr>
        <w:t>5</w:t>
      </w:r>
      <w:r w:rsidR="00B04114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411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0.</w:t>
      </w:r>
    </w:p>
    <w:p w:rsidR="00881BAA" w:rsidRDefault="00645121" w:rsidP="006E4FD9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 w:rsidRPr="00881BAA">
        <w:rPr>
          <w:rFonts w:ascii="Times New Roman" w:hAnsi="Times New Roman" w:cs="Times New Roman"/>
          <w:sz w:val="26"/>
          <w:szCs w:val="26"/>
        </w:rPr>
        <w:t>Таким образом, Д</w:t>
      </w:r>
      <w:r w:rsidRPr="00881BAA">
        <w:rPr>
          <w:rFonts w:ascii="Times New Roman" w:hAnsi="Times New Roman" w:cs="Times New Roman"/>
          <w:sz w:val="26"/>
          <w:szCs w:val="26"/>
          <w:vertAlign w:val="subscript"/>
        </w:rPr>
        <w:t>пнпа</w:t>
      </w:r>
      <w:r w:rsidR="00705470">
        <w:rPr>
          <w:rFonts w:ascii="Times New Roman" w:hAnsi="Times New Roman" w:cs="Times New Roman"/>
          <w:sz w:val="26"/>
          <w:szCs w:val="26"/>
          <w:vertAlign w:val="subscript"/>
        </w:rPr>
        <w:t xml:space="preserve">, </w:t>
      </w:r>
      <w:r w:rsidR="00705470" w:rsidRPr="00705470">
        <w:rPr>
          <w:rFonts w:ascii="Times New Roman" w:hAnsi="Times New Roman" w:cs="Times New Roman"/>
          <w:sz w:val="26"/>
          <w:szCs w:val="26"/>
        </w:rPr>
        <w:t xml:space="preserve">разработчиком которых является Департамент, </w:t>
      </w:r>
      <w:r w:rsidRPr="00881BAA">
        <w:rPr>
          <w:rFonts w:ascii="Times New Roman" w:hAnsi="Times New Roman" w:cs="Times New Roman"/>
          <w:sz w:val="26"/>
          <w:szCs w:val="26"/>
        </w:rPr>
        <w:t>в которых выявлены риски нарушения антимонопольного законодательства</w:t>
      </w:r>
      <w:r w:rsidR="00705470">
        <w:rPr>
          <w:rFonts w:ascii="Times New Roman" w:hAnsi="Times New Roman" w:cs="Times New Roman"/>
          <w:sz w:val="26"/>
          <w:szCs w:val="26"/>
        </w:rPr>
        <w:t xml:space="preserve"> в отчётном периоде</w:t>
      </w:r>
      <w:r w:rsidR="00881BAA">
        <w:rPr>
          <w:rFonts w:ascii="Times New Roman" w:hAnsi="Times New Roman" w:cs="Times New Roman"/>
          <w:sz w:val="26"/>
          <w:szCs w:val="26"/>
        </w:rPr>
        <w:t xml:space="preserve"> –</w:t>
      </w:r>
      <w:r w:rsidR="00B04114" w:rsidRPr="00881BAA">
        <w:rPr>
          <w:rFonts w:ascii="Times New Roman" w:hAnsi="Times New Roman" w:cs="Times New Roman"/>
          <w:sz w:val="26"/>
          <w:szCs w:val="26"/>
        </w:rPr>
        <w:t xml:space="preserve"> </w:t>
      </w:r>
      <w:r w:rsidRPr="00881BAA">
        <w:rPr>
          <w:rFonts w:ascii="Times New Roman" w:hAnsi="Times New Roman" w:cs="Times New Roman"/>
          <w:sz w:val="26"/>
          <w:szCs w:val="26"/>
        </w:rPr>
        <w:t>0.</w:t>
      </w:r>
    </w:p>
    <w:p w:rsidR="00153A92" w:rsidRDefault="00153A92" w:rsidP="006E4FD9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 w:rsidRPr="00881BAA">
        <w:rPr>
          <w:rFonts w:ascii="Times New Roman" w:hAnsi="Times New Roman" w:cs="Times New Roman"/>
          <w:sz w:val="26"/>
          <w:szCs w:val="26"/>
        </w:rPr>
        <w:t xml:space="preserve">При </w:t>
      </w:r>
      <w:r w:rsidR="006E2F42" w:rsidRPr="00881BAA">
        <w:rPr>
          <w:rFonts w:ascii="Times New Roman" w:hAnsi="Times New Roman" w:cs="Times New Roman"/>
          <w:sz w:val="26"/>
          <w:szCs w:val="26"/>
        </w:rPr>
        <w:t>расчёте</w:t>
      </w:r>
      <w:r w:rsidRPr="00881BAA">
        <w:rPr>
          <w:rFonts w:ascii="Times New Roman" w:hAnsi="Times New Roman" w:cs="Times New Roman"/>
          <w:sz w:val="26"/>
          <w:szCs w:val="26"/>
        </w:rPr>
        <w:t xml:space="preserve"> доли нормативных правовых актов</w:t>
      </w:r>
      <w:r w:rsidR="00705470">
        <w:rPr>
          <w:rFonts w:ascii="Times New Roman" w:hAnsi="Times New Roman" w:cs="Times New Roman"/>
          <w:sz w:val="26"/>
          <w:szCs w:val="26"/>
        </w:rPr>
        <w:t xml:space="preserve"> (Д</w:t>
      </w:r>
      <w:r w:rsidR="00705470" w:rsidRPr="00271699">
        <w:rPr>
          <w:rFonts w:ascii="Times New Roman" w:hAnsi="Times New Roman" w:cs="Times New Roman"/>
          <w:sz w:val="26"/>
          <w:szCs w:val="26"/>
          <w:vertAlign w:val="subscript"/>
        </w:rPr>
        <w:t>нпа</w:t>
      </w:r>
      <w:r w:rsidR="00705470">
        <w:rPr>
          <w:rFonts w:ascii="Times New Roman" w:hAnsi="Times New Roman" w:cs="Times New Roman"/>
          <w:sz w:val="26"/>
          <w:szCs w:val="26"/>
        </w:rPr>
        <w:t>)</w:t>
      </w:r>
      <w:r w:rsidRPr="00881BAA">
        <w:rPr>
          <w:rFonts w:ascii="Times New Roman" w:hAnsi="Times New Roman" w:cs="Times New Roman"/>
          <w:sz w:val="26"/>
          <w:szCs w:val="26"/>
        </w:rPr>
        <w:t xml:space="preserve"> Департамента, разработчиком которых является Департамент, в которых выявлены риски нарушения антимонопольного законодательства, использована формула:</w:t>
      </w:r>
    </w:p>
    <w:p w:rsidR="00881BAA" w:rsidRPr="00881BAA" w:rsidRDefault="00881BAA" w:rsidP="006E4FD9">
      <w:pPr>
        <w:autoSpaceDE w:val="0"/>
        <w:autoSpaceDN w:val="0"/>
        <w:adjustRightInd w:val="0"/>
        <w:ind w:firstLineChars="276" w:firstLine="4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2"/>
        <w:gridCol w:w="851"/>
      </w:tblGrid>
      <w:tr w:rsidR="00881BAA" w:rsidTr="00E01C01">
        <w:tc>
          <w:tcPr>
            <w:tcW w:w="1134" w:type="dxa"/>
            <w:vMerge w:val="restart"/>
            <w:vAlign w:val="center"/>
          </w:tcPr>
          <w:p w:rsidR="00881BAA" w:rsidRDefault="00881BAA" w:rsidP="00E01C01">
            <w:pPr>
              <w:pStyle w:val="1"/>
              <w:shd w:val="clear" w:color="auto" w:fill="auto"/>
              <w:spacing w:after="0" w:line="240" w:lineRule="auto"/>
              <w:ind w:right="40"/>
              <w:jc w:val="right"/>
              <w:rPr>
                <w:iCs/>
              </w:rPr>
            </w:pPr>
            <w:r>
              <w:rPr>
                <w:iCs/>
              </w:rPr>
              <w:t>Д</w:t>
            </w:r>
            <w:r w:rsidRPr="006E4FD9">
              <w:rPr>
                <w:iCs/>
                <w:vertAlign w:val="subscript"/>
              </w:rPr>
              <w:t>нпа</w:t>
            </w:r>
            <w:r>
              <w:rPr>
                <w:iCs/>
              </w:rPr>
              <w:t xml:space="preserve"> =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BAA" w:rsidRDefault="00881BAA" w:rsidP="00E01C01">
            <w:pPr>
              <w:pStyle w:val="1"/>
              <w:shd w:val="clear" w:color="auto" w:fill="auto"/>
              <w:spacing w:after="0" w:line="240" w:lineRule="auto"/>
              <w:ind w:right="40"/>
              <w:rPr>
                <w:iCs/>
              </w:rPr>
            </w:pPr>
            <w:r>
              <w:rPr>
                <w:iCs/>
              </w:rPr>
              <w:t>К</w:t>
            </w:r>
            <w:r>
              <w:rPr>
                <w:iCs/>
                <w:vertAlign w:val="subscript"/>
              </w:rPr>
              <w:t>нпа</w:t>
            </w:r>
          </w:p>
        </w:tc>
        <w:tc>
          <w:tcPr>
            <w:tcW w:w="851" w:type="dxa"/>
            <w:vMerge w:val="restart"/>
            <w:vAlign w:val="center"/>
          </w:tcPr>
          <w:p w:rsidR="00881BAA" w:rsidRDefault="00881BAA" w:rsidP="00E01C01">
            <w:pPr>
              <w:pStyle w:val="1"/>
              <w:shd w:val="clear" w:color="auto" w:fill="auto"/>
              <w:spacing w:after="0" w:line="240" w:lineRule="auto"/>
              <w:ind w:right="40"/>
              <w:jc w:val="left"/>
              <w:rPr>
                <w:iCs/>
              </w:rPr>
            </w:pPr>
            <w:r>
              <w:rPr>
                <w:iCs/>
              </w:rPr>
              <w:t>, где:</w:t>
            </w:r>
          </w:p>
        </w:tc>
      </w:tr>
      <w:tr w:rsidR="00881BAA" w:rsidTr="00E01C01">
        <w:tc>
          <w:tcPr>
            <w:tcW w:w="1134" w:type="dxa"/>
            <w:vMerge/>
          </w:tcPr>
          <w:p w:rsidR="00881BAA" w:rsidRDefault="00881BAA" w:rsidP="00E01C01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1BAA" w:rsidRDefault="00881BAA" w:rsidP="00E01C01">
            <w:pPr>
              <w:pStyle w:val="1"/>
              <w:shd w:val="clear" w:color="auto" w:fill="auto"/>
              <w:spacing w:after="0" w:line="240" w:lineRule="auto"/>
              <w:ind w:right="40"/>
              <w:rPr>
                <w:iCs/>
              </w:rPr>
            </w:pPr>
            <w:r>
              <w:rPr>
                <w:iCs/>
              </w:rPr>
              <w:t>КН</w:t>
            </w:r>
            <w:r w:rsidR="00271699">
              <w:rPr>
                <w:iCs/>
                <w:vertAlign w:val="subscript"/>
              </w:rPr>
              <w:t>н</w:t>
            </w:r>
            <w:r w:rsidRPr="006E4FD9">
              <w:rPr>
                <w:iCs/>
                <w:vertAlign w:val="subscript"/>
              </w:rPr>
              <w:t>п</w:t>
            </w:r>
            <w:r w:rsidR="00271699">
              <w:rPr>
                <w:iCs/>
                <w:vertAlign w:val="subscript"/>
              </w:rPr>
              <w:t>а</w:t>
            </w:r>
          </w:p>
        </w:tc>
        <w:tc>
          <w:tcPr>
            <w:tcW w:w="851" w:type="dxa"/>
            <w:vMerge/>
          </w:tcPr>
          <w:p w:rsidR="00881BAA" w:rsidRDefault="00881BAA" w:rsidP="00E01C01">
            <w:pPr>
              <w:pStyle w:val="1"/>
              <w:shd w:val="clear" w:color="auto" w:fill="auto"/>
              <w:spacing w:after="0" w:line="240" w:lineRule="auto"/>
              <w:ind w:right="40"/>
              <w:jc w:val="both"/>
              <w:rPr>
                <w:iCs/>
              </w:rPr>
            </w:pPr>
          </w:p>
        </w:tc>
      </w:tr>
    </w:tbl>
    <w:p w:rsidR="00881BAA" w:rsidRPr="00881BAA" w:rsidRDefault="00881BAA" w:rsidP="006E4FD9">
      <w:pPr>
        <w:autoSpaceDE w:val="0"/>
        <w:autoSpaceDN w:val="0"/>
        <w:adjustRightInd w:val="0"/>
        <w:ind w:firstLineChars="276" w:firstLine="442"/>
        <w:jc w:val="both"/>
        <w:rPr>
          <w:rFonts w:ascii="Times New Roman" w:hAnsi="Times New Roman" w:cs="Times New Roman"/>
          <w:sz w:val="16"/>
          <w:szCs w:val="16"/>
        </w:rPr>
      </w:pPr>
    </w:p>
    <w:p w:rsidR="00153A92" w:rsidRDefault="00153A92" w:rsidP="006E4FD9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881BAA">
        <w:rPr>
          <w:rFonts w:ascii="Times New Roman" w:hAnsi="Times New Roman" w:cs="Times New Roman"/>
          <w:sz w:val="26"/>
          <w:szCs w:val="26"/>
          <w:vertAlign w:val="subscript"/>
        </w:rPr>
        <w:t>нпа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1BAA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количество нормативных правовых актов, в которых Департаментом выявлены риски нарушения антимонопольного законодательства в 202</w:t>
      </w:r>
      <w:r w:rsidR="009A6B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году) – 0</w:t>
      </w:r>
      <w:r w:rsidR="00881BAA">
        <w:rPr>
          <w:rFonts w:ascii="Times New Roman" w:hAnsi="Times New Roman" w:cs="Times New Roman"/>
          <w:sz w:val="26"/>
          <w:szCs w:val="26"/>
        </w:rPr>
        <w:t>;</w:t>
      </w:r>
    </w:p>
    <w:p w:rsidR="00881BAA" w:rsidRDefault="00153A92" w:rsidP="00881BAA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81BAA">
        <w:rPr>
          <w:rFonts w:ascii="Times New Roman" w:hAnsi="Times New Roman" w:cs="Times New Roman"/>
          <w:sz w:val="26"/>
          <w:szCs w:val="26"/>
        </w:rPr>
        <w:t>Н</w:t>
      </w:r>
      <w:r w:rsidR="00271699">
        <w:rPr>
          <w:rFonts w:ascii="Times New Roman" w:hAnsi="Times New Roman" w:cs="Times New Roman"/>
          <w:sz w:val="26"/>
          <w:szCs w:val="26"/>
          <w:vertAlign w:val="subscript"/>
        </w:rPr>
        <w:t>нпа</w:t>
      </w:r>
      <w:r w:rsidR="00881BA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количество нормативных правовых актов, в которых антимонопольным органом выявлены нарушения антимонопольного законодательства в 202</w:t>
      </w:r>
      <w:r w:rsidR="009A6BF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году) – 0.</w:t>
      </w:r>
    </w:p>
    <w:p w:rsidR="00153A92" w:rsidRPr="00881BAA" w:rsidRDefault="00153A92" w:rsidP="00881BAA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 w:rsidRPr="00881BAA">
        <w:rPr>
          <w:rFonts w:ascii="Times New Roman" w:hAnsi="Times New Roman" w:cs="Times New Roman"/>
          <w:sz w:val="26"/>
          <w:szCs w:val="26"/>
        </w:rPr>
        <w:t>Таким образом, Д</w:t>
      </w:r>
      <w:r w:rsidRPr="00271699">
        <w:rPr>
          <w:rFonts w:ascii="Times New Roman" w:hAnsi="Times New Roman" w:cs="Times New Roman"/>
          <w:sz w:val="26"/>
          <w:szCs w:val="26"/>
          <w:vertAlign w:val="subscript"/>
        </w:rPr>
        <w:t>нпа</w:t>
      </w:r>
      <w:r w:rsidRPr="00881BAA">
        <w:rPr>
          <w:rFonts w:ascii="Times New Roman" w:hAnsi="Times New Roman" w:cs="Times New Roman"/>
          <w:sz w:val="26"/>
          <w:szCs w:val="26"/>
        </w:rPr>
        <w:t xml:space="preserve"> (доля проектов нормативных правовых актов, в которых выявлены риски нарушения антимонопольного законодательства)</w:t>
      </w:r>
      <w:r w:rsidR="00881BAA" w:rsidRPr="00881BAA">
        <w:rPr>
          <w:rFonts w:ascii="Times New Roman" w:hAnsi="Times New Roman" w:cs="Times New Roman"/>
          <w:sz w:val="26"/>
          <w:szCs w:val="26"/>
        </w:rPr>
        <w:t xml:space="preserve"> </w:t>
      </w:r>
      <w:r w:rsidR="00881BAA">
        <w:rPr>
          <w:rFonts w:ascii="Times New Roman" w:hAnsi="Times New Roman" w:cs="Times New Roman"/>
          <w:sz w:val="26"/>
          <w:szCs w:val="26"/>
        </w:rPr>
        <w:t>–</w:t>
      </w:r>
      <w:r w:rsidRPr="00881BAA">
        <w:rPr>
          <w:rFonts w:ascii="Times New Roman" w:hAnsi="Times New Roman" w:cs="Times New Roman"/>
          <w:sz w:val="26"/>
          <w:szCs w:val="26"/>
        </w:rPr>
        <w:t xml:space="preserve"> 0.</w:t>
      </w:r>
    </w:p>
    <w:p w:rsidR="009F7DEF" w:rsidRPr="00881BAA" w:rsidRDefault="00645121" w:rsidP="00881BAA">
      <w:pPr>
        <w:autoSpaceDE w:val="0"/>
        <w:autoSpaceDN w:val="0"/>
        <w:adjustRightInd w:val="0"/>
        <w:ind w:firstLineChars="276" w:firstLine="718"/>
        <w:jc w:val="both"/>
        <w:rPr>
          <w:rFonts w:ascii="Times New Roman" w:hAnsi="Times New Roman" w:cs="Times New Roman"/>
          <w:sz w:val="26"/>
          <w:szCs w:val="26"/>
        </w:rPr>
      </w:pPr>
      <w:r w:rsidRPr="00881BAA">
        <w:rPr>
          <w:rFonts w:ascii="Times New Roman" w:hAnsi="Times New Roman" w:cs="Times New Roman"/>
          <w:sz w:val="26"/>
          <w:szCs w:val="26"/>
        </w:rPr>
        <w:t>Ключевые показатели эффективности функционирования антимонопольного комплаенса</w:t>
      </w:r>
      <w:r w:rsidR="00CB7734" w:rsidRPr="00881BAA">
        <w:rPr>
          <w:rFonts w:ascii="Times New Roman" w:hAnsi="Times New Roman" w:cs="Times New Roman"/>
          <w:sz w:val="26"/>
          <w:szCs w:val="26"/>
        </w:rPr>
        <w:t xml:space="preserve"> </w:t>
      </w:r>
      <w:r w:rsidRPr="00881BAA">
        <w:rPr>
          <w:rFonts w:ascii="Times New Roman" w:hAnsi="Times New Roman" w:cs="Times New Roman"/>
          <w:sz w:val="26"/>
          <w:szCs w:val="26"/>
        </w:rPr>
        <w:t>в Департаменте за 20</w:t>
      </w:r>
      <w:r w:rsidR="006704AA" w:rsidRPr="00881BAA">
        <w:rPr>
          <w:rFonts w:ascii="Times New Roman" w:hAnsi="Times New Roman" w:cs="Times New Roman"/>
          <w:sz w:val="26"/>
          <w:szCs w:val="26"/>
        </w:rPr>
        <w:t>2</w:t>
      </w:r>
      <w:r w:rsidR="009A6BF4">
        <w:rPr>
          <w:rFonts w:ascii="Times New Roman" w:hAnsi="Times New Roman" w:cs="Times New Roman"/>
          <w:sz w:val="26"/>
          <w:szCs w:val="26"/>
        </w:rPr>
        <w:t>5</w:t>
      </w:r>
      <w:r w:rsidRPr="00881BAA">
        <w:rPr>
          <w:rFonts w:ascii="Times New Roman" w:hAnsi="Times New Roman" w:cs="Times New Roman"/>
          <w:sz w:val="26"/>
          <w:szCs w:val="26"/>
        </w:rPr>
        <w:t xml:space="preserve"> год достигнуты до значени</w:t>
      </w:r>
      <w:r w:rsidR="00271699">
        <w:rPr>
          <w:rFonts w:ascii="Times New Roman" w:hAnsi="Times New Roman" w:cs="Times New Roman"/>
          <w:sz w:val="26"/>
          <w:szCs w:val="26"/>
        </w:rPr>
        <w:t>й</w:t>
      </w:r>
      <w:r w:rsidRPr="00881BAA">
        <w:rPr>
          <w:rFonts w:ascii="Times New Roman" w:hAnsi="Times New Roman" w:cs="Times New Roman"/>
          <w:sz w:val="26"/>
          <w:szCs w:val="26"/>
        </w:rPr>
        <w:t>, установленн</w:t>
      </w:r>
      <w:r w:rsidR="00271699">
        <w:rPr>
          <w:rFonts w:ascii="Times New Roman" w:hAnsi="Times New Roman" w:cs="Times New Roman"/>
          <w:sz w:val="26"/>
          <w:szCs w:val="26"/>
        </w:rPr>
        <w:t xml:space="preserve">ых </w:t>
      </w:r>
      <w:r w:rsidR="00401675">
        <w:rPr>
          <w:rFonts w:ascii="Times New Roman" w:hAnsi="Times New Roman" w:cs="Times New Roman"/>
          <w:sz w:val="26"/>
          <w:szCs w:val="26"/>
        </w:rPr>
        <w:t>П</w:t>
      </w:r>
      <w:r w:rsidRPr="00881BAA">
        <w:rPr>
          <w:rFonts w:ascii="Times New Roman" w:hAnsi="Times New Roman" w:cs="Times New Roman"/>
          <w:sz w:val="26"/>
          <w:szCs w:val="26"/>
        </w:rPr>
        <w:t xml:space="preserve">риказом № </w:t>
      </w:r>
      <w:r w:rsidR="00881BAA">
        <w:rPr>
          <w:rFonts w:ascii="Times New Roman" w:hAnsi="Times New Roman" w:cs="Times New Roman"/>
          <w:sz w:val="26"/>
          <w:szCs w:val="26"/>
        </w:rPr>
        <w:t>1</w:t>
      </w:r>
      <w:r w:rsidR="009A6BF4">
        <w:rPr>
          <w:rFonts w:ascii="Times New Roman" w:hAnsi="Times New Roman" w:cs="Times New Roman"/>
          <w:sz w:val="26"/>
          <w:szCs w:val="26"/>
        </w:rPr>
        <w:t>737</w:t>
      </w:r>
      <w:r w:rsidRPr="00881BAA">
        <w:rPr>
          <w:rFonts w:ascii="Times New Roman" w:hAnsi="Times New Roman" w:cs="Times New Roman"/>
          <w:sz w:val="26"/>
          <w:szCs w:val="26"/>
        </w:rPr>
        <w:t>.</w:t>
      </w:r>
    </w:p>
    <w:p w:rsidR="00B04114" w:rsidRDefault="00B04114" w:rsidP="006E4FD9">
      <w:pPr>
        <w:pStyle w:val="1"/>
        <w:shd w:val="clear" w:color="auto" w:fill="auto"/>
        <w:spacing w:after="0" w:line="240" w:lineRule="auto"/>
        <w:ind w:firstLine="720"/>
        <w:jc w:val="both"/>
      </w:pPr>
    </w:p>
    <w:p w:rsidR="00B04114" w:rsidRDefault="000869BC" w:rsidP="006E4FD9">
      <w:pPr>
        <w:pStyle w:val="40"/>
        <w:keepNext/>
        <w:keepLines/>
        <w:shd w:val="clear" w:color="auto" w:fill="auto"/>
        <w:spacing w:line="240" w:lineRule="auto"/>
        <w:ind w:firstLine="0"/>
        <w:jc w:val="center"/>
      </w:pPr>
      <w:r>
        <w:t>5</w:t>
      </w:r>
      <w:r w:rsidR="00B04114">
        <w:t>. Итоги антимонопольного комплаенса за 202</w:t>
      </w:r>
      <w:r w:rsidR="009A6BF4">
        <w:t>5</w:t>
      </w:r>
      <w:r w:rsidR="00B04114">
        <w:t xml:space="preserve"> год</w:t>
      </w:r>
    </w:p>
    <w:p w:rsidR="00B04114" w:rsidRDefault="00B04114" w:rsidP="006E4FD9">
      <w:pPr>
        <w:pStyle w:val="1"/>
        <w:shd w:val="clear" w:color="auto" w:fill="auto"/>
        <w:spacing w:after="0" w:line="240" w:lineRule="auto"/>
        <w:ind w:firstLine="720"/>
        <w:jc w:val="both"/>
      </w:pPr>
    </w:p>
    <w:p w:rsidR="00B65376" w:rsidRDefault="00B65376" w:rsidP="006E4FD9">
      <w:pPr>
        <w:pStyle w:val="1"/>
        <w:shd w:val="clear" w:color="auto" w:fill="auto"/>
        <w:spacing w:after="0" w:line="240" w:lineRule="auto"/>
        <w:ind w:firstLine="720"/>
        <w:jc w:val="both"/>
      </w:pPr>
      <w:r>
        <w:t>Необходимые мероприятия по функционированию антимонопольного комплаенса в Департ</w:t>
      </w:r>
      <w:r w:rsidR="00153A92">
        <w:t>а</w:t>
      </w:r>
      <w:r>
        <w:t>менте в 202</w:t>
      </w:r>
      <w:r w:rsidR="009A6BF4">
        <w:t>5</w:t>
      </w:r>
      <w:r w:rsidR="00271699">
        <w:t xml:space="preserve"> </w:t>
      </w:r>
      <w:r>
        <w:t>году осуществлены.</w:t>
      </w:r>
    </w:p>
    <w:p w:rsidR="00B04114" w:rsidRDefault="00B65376" w:rsidP="006E4FD9">
      <w:pPr>
        <w:pStyle w:val="1"/>
        <w:shd w:val="clear" w:color="auto" w:fill="auto"/>
        <w:spacing w:after="0" w:line="240" w:lineRule="auto"/>
        <w:ind w:firstLine="720"/>
        <w:jc w:val="both"/>
      </w:pPr>
      <w:r>
        <w:t xml:space="preserve">Ключевые </w:t>
      </w:r>
      <w:r w:rsidR="00B04114">
        <w:t>показател</w:t>
      </w:r>
      <w:r>
        <w:t xml:space="preserve">и </w:t>
      </w:r>
      <w:r w:rsidR="00B04114">
        <w:t>эффективности антимонопольного комплаенс</w:t>
      </w:r>
      <w:r>
        <w:t>а</w:t>
      </w:r>
      <w:r w:rsidR="00B04114">
        <w:t xml:space="preserve"> в </w:t>
      </w:r>
      <w:r>
        <w:t>Департаменте достигнуты.</w:t>
      </w:r>
    </w:p>
    <w:p w:rsidR="00B65376" w:rsidRDefault="00B65376" w:rsidP="006E4FD9">
      <w:pPr>
        <w:pStyle w:val="1"/>
        <w:shd w:val="clear" w:color="auto" w:fill="auto"/>
        <w:spacing w:after="0" w:line="240" w:lineRule="auto"/>
        <w:ind w:firstLine="720"/>
        <w:jc w:val="both"/>
      </w:pPr>
      <w:r>
        <w:t>Нарушений антимонопольного законодательства в деятельности Департамента не выявлено.</w:t>
      </w:r>
    </w:p>
    <w:p w:rsidR="00B65376" w:rsidRDefault="00B65376" w:rsidP="006E4FD9">
      <w:pPr>
        <w:pStyle w:val="1"/>
        <w:shd w:val="clear" w:color="auto" w:fill="auto"/>
        <w:spacing w:after="0" w:line="240" w:lineRule="auto"/>
        <w:ind w:firstLine="720"/>
        <w:jc w:val="both"/>
      </w:pPr>
    </w:p>
    <w:p w:rsidR="009F7DEF" w:rsidRDefault="009F7DEF" w:rsidP="006E4FD9">
      <w:pPr>
        <w:pStyle w:val="1"/>
        <w:shd w:val="clear" w:color="auto" w:fill="auto"/>
        <w:spacing w:after="0" w:line="240" w:lineRule="auto"/>
        <w:ind w:firstLine="720"/>
        <w:jc w:val="both"/>
      </w:pPr>
    </w:p>
    <w:p w:rsidR="00B65376" w:rsidRDefault="00B65376" w:rsidP="006E4FD9">
      <w:pPr>
        <w:pStyle w:val="1"/>
        <w:shd w:val="clear" w:color="auto" w:fill="auto"/>
        <w:spacing w:after="0" w:line="240" w:lineRule="auto"/>
        <w:ind w:firstLine="720"/>
        <w:jc w:val="both"/>
      </w:pPr>
    </w:p>
    <w:p w:rsidR="009F7DEF" w:rsidRDefault="00BA1B78" w:rsidP="006E4FD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  <w:highlight w:val="yellow"/>
        </w:rPr>
        <w:sectPr w:rsidR="009F7DEF" w:rsidSect="00CB7734">
          <w:type w:val="continuous"/>
          <w:pgSz w:w="11905" w:h="16837"/>
          <w:pgMar w:top="891" w:right="706" w:bottom="1435" w:left="1469" w:header="0" w:footer="3" w:gutter="0"/>
          <w:cols w:space="720"/>
          <w:docGrid w:linePitch="360"/>
        </w:sectPr>
      </w:pPr>
      <w:r>
        <w:t>Н</w:t>
      </w:r>
      <w:r w:rsidR="00645121">
        <w:t xml:space="preserve">ачальник Департамента             </w:t>
      </w:r>
      <w:r>
        <w:t xml:space="preserve">      </w:t>
      </w:r>
      <w:r w:rsidR="00645121">
        <w:t xml:space="preserve">                                       </w:t>
      </w:r>
      <w:r w:rsidR="00CB7734">
        <w:t xml:space="preserve">                   </w:t>
      </w:r>
      <w:r w:rsidR="00645121">
        <w:t xml:space="preserve"> </w:t>
      </w:r>
      <w:r w:rsidR="00271699">
        <w:t xml:space="preserve">    Л</w:t>
      </w:r>
      <w:r w:rsidR="00645121">
        <w:t>.</w:t>
      </w:r>
      <w:r w:rsidR="00271699">
        <w:t>Н</w:t>
      </w:r>
      <w:r w:rsidR="00645121">
        <w:t>.</w:t>
      </w:r>
      <w:r w:rsidR="00271699">
        <w:t xml:space="preserve"> Брянцева</w:t>
      </w:r>
    </w:p>
    <w:p w:rsidR="009F7DEF" w:rsidRDefault="009F7DEF" w:rsidP="006E4FD9">
      <w:pPr>
        <w:rPr>
          <w:sz w:val="2"/>
          <w:szCs w:val="2"/>
        </w:rPr>
        <w:sectPr w:rsidR="009F7DEF">
          <w:type w:val="continuous"/>
          <w:pgSz w:w="11905" w:h="16837"/>
          <w:pgMar w:top="0" w:right="0" w:bottom="0" w:left="0" w:header="0" w:footer="3" w:gutter="0"/>
          <w:cols w:space="720"/>
          <w:docGrid w:linePitch="360"/>
        </w:sectPr>
      </w:pPr>
    </w:p>
    <w:p w:rsidR="009F7DEF" w:rsidRDefault="009F7DEF" w:rsidP="006E4FD9">
      <w:pPr>
        <w:framePr w:w="1013" w:h="739" w:wrap="around" w:hAnchor="margin" w:x="-3373" w:y="6577"/>
        <w:jc w:val="center"/>
        <w:rPr>
          <w:sz w:val="0"/>
          <w:szCs w:val="0"/>
        </w:rPr>
      </w:pPr>
    </w:p>
    <w:sectPr w:rsidR="009F7DEF">
      <w:type w:val="continuous"/>
      <w:pgSz w:w="11905" w:h="16837"/>
      <w:pgMar w:top="1171" w:right="9838" w:bottom="7872" w:left="1904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6EB" w:rsidRDefault="00DE16EB"/>
  </w:endnote>
  <w:endnote w:type="continuationSeparator" w:id="0">
    <w:p w:rsidR="00DE16EB" w:rsidRDefault="00DE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6EB" w:rsidRDefault="00DE16EB"/>
  </w:footnote>
  <w:footnote w:type="continuationSeparator" w:id="0">
    <w:p w:rsidR="00DE16EB" w:rsidRDefault="00DE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singleLevel"/>
    <w:tmpl w:val="32D69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5C59B6"/>
    <w:multiLevelType w:val="singleLevel"/>
    <w:tmpl w:val="045C59B6"/>
    <w:lvl w:ilvl="0">
      <w:start w:val="1"/>
      <w:numFmt w:val="upperRoman"/>
      <w:suff w:val="space"/>
      <w:lvlText w:val="%1."/>
      <w:lvlJc w:val="left"/>
    </w:lvl>
  </w:abstractNum>
  <w:abstractNum w:abstractNumId="2">
    <w:nsid w:val="1E2B0285"/>
    <w:multiLevelType w:val="multilevel"/>
    <w:tmpl w:val="B7C0CE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2A20CA4"/>
    <w:multiLevelType w:val="multilevel"/>
    <w:tmpl w:val="39FE4B6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D9"/>
    <w:rsid w:val="000869BC"/>
    <w:rsid w:val="000D3196"/>
    <w:rsid w:val="000E1D98"/>
    <w:rsid w:val="00130C85"/>
    <w:rsid w:val="00153A92"/>
    <w:rsid w:val="001667A6"/>
    <w:rsid w:val="00172A27"/>
    <w:rsid w:val="001801BB"/>
    <w:rsid w:val="001D2190"/>
    <w:rsid w:val="001D58D4"/>
    <w:rsid w:val="001D6E53"/>
    <w:rsid w:val="001E1C83"/>
    <w:rsid w:val="0021606A"/>
    <w:rsid w:val="00244CA2"/>
    <w:rsid w:val="00247598"/>
    <w:rsid w:val="00252DE3"/>
    <w:rsid w:val="0026278A"/>
    <w:rsid w:val="00271699"/>
    <w:rsid w:val="002A6032"/>
    <w:rsid w:val="002C5CEF"/>
    <w:rsid w:val="002E44B4"/>
    <w:rsid w:val="003158F8"/>
    <w:rsid w:val="00373E3C"/>
    <w:rsid w:val="003A6C14"/>
    <w:rsid w:val="003D5052"/>
    <w:rsid w:val="00401675"/>
    <w:rsid w:val="004209F1"/>
    <w:rsid w:val="00453950"/>
    <w:rsid w:val="00457DC3"/>
    <w:rsid w:val="004951B8"/>
    <w:rsid w:val="004D7F1D"/>
    <w:rsid w:val="004E4EB5"/>
    <w:rsid w:val="005925F5"/>
    <w:rsid w:val="00631901"/>
    <w:rsid w:val="00645121"/>
    <w:rsid w:val="006704AA"/>
    <w:rsid w:val="006811BC"/>
    <w:rsid w:val="006A47F6"/>
    <w:rsid w:val="006C7F23"/>
    <w:rsid w:val="006E2F42"/>
    <w:rsid w:val="006E4FD9"/>
    <w:rsid w:val="00705470"/>
    <w:rsid w:val="007142BD"/>
    <w:rsid w:val="007B49F3"/>
    <w:rsid w:val="007C6045"/>
    <w:rsid w:val="007F16EC"/>
    <w:rsid w:val="007F4660"/>
    <w:rsid w:val="0084602D"/>
    <w:rsid w:val="00881BAA"/>
    <w:rsid w:val="008E5D82"/>
    <w:rsid w:val="008F617A"/>
    <w:rsid w:val="0093397C"/>
    <w:rsid w:val="00951925"/>
    <w:rsid w:val="00964140"/>
    <w:rsid w:val="00974FF3"/>
    <w:rsid w:val="00985400"/>
    <w:rsid w:val="009A6BF4"/>
    <w:rsid w:val="009D4E76"/>
    <w:rsid w:val="009F7DEF"/>
    <w:rsid w:val="00A46E4E"/>
    <w:rsid w:val="00A56E16"/>
    <w:rsid w:val="00AF683E"/>
    <w:rsid w:val="00B04114"/>
    <w:rsid w:val="00B42D2A"/>
    <w:rsid w:val="00B65376"/>
    <w:rsid w:val="00B84117"/>
    <w:rsid w:val="00B91735"/>
    <w:rsid w:val="00BA1B78"/>
    <w:rsid w:val="00BD78E8"/>
    <w:rsid w:val="00BF6B84"/>
    <w:rsid w:val="00CB7734"/>
    <w:rsid w:val="00CC0C56"/>
    <w:rsid w:val="00CE3F81"/>
    <w:rsid w:val="00CF4500"/>
    <w:rsid w:val="00D33E20"/>
    <w:rsid w:val="00DA5019"/>
    <w:rsid w:val="00DD20A4"/>
    <w:rsid w:val="00DE16EB"/>
    <w:rsid w:val="00E12454"/>
    <w:rsid w:val="00E129BC"/>
    <w:rsid w:val="00E4340C"/>
    <w:rsid w:val="00E91F4F"/>
    <w:rsid w:val="00EA0BE3"/>
    <w:rsid w:val="00EF57D9"/>
    <w:rsid w:val="00EF6475"/>
    <w:rsid w:val="00FD4623"/>
    <w:rsid w:val="00FE1284"/>
    <w:rsid w:val="07705C50"/>
    <w:rsid w:val="182615B6"/>
    <w:rsid w:val="2C661D4F"/>
    <w:rsid w:val="3C6B6ABC"/>
    <w:rsid w:val="3E864423"/>
    <w:rsid w:val="3F981F6C"/>
    <w:rsid w:val="43ED22C3"/>
    <w:rsid w:val="442C7662"/>
    <w:rsid w:val="4A882ADF"/>
    <w:rsid w:val="518B2E1B"/>
    <w:rsid w:val="73142927"/>
    <w:rsid w:val="7857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F2D26-7938-4EFA-B70A-DB53BD87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6">
    <w:name w:val="Hyperlink"/>
    <w:basedOn w:val="a0"/>
    <w:qFormat/>
    <w:rPr>
      <w:color w:val="0066CC"/>
      <w:u w:val="single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paragraph" w:customStyle="1" w:styleId="1">
    <w:name w:val="Основной текст1"/>
    <w:basedOn w:val="a"/>
    <w:link w:val="a8"/>
    <w:qFormat/>
    <w:pPr>
      <w:shd w:val="clear" w:color="auto" w:fill="FFFFFF"/>
      <w:spacing w:after="42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spacing w:val="0"/>
      <w:sz w:val="46"/>
      <w:szCs w:val="46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4200" w:after="420" w:line="0" w:lineRule="atLeast"/>
      <w:jc w:val="center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spacing w:val="0"/>
      <w:sz w:val="46"/>
      <w:szCs w:val="46"/>
    </w:rPr>
  </w:style>
  <w:style w:type="paragraph" w:customStyle="1" w:styleId="20">
    <w:name w:val="Заголовок №2"/>
    <w:basedOn w:val="a"/>
    <w:link w:val="2"/>
    <w:qFormat/>
    <w:pPr>
      <w:shd w:val="clear" w:color="auto" w:fill="FFFFFF"/>
      <w:spacing w:before="420" w:line="547" w:lineRule="exact"/>
      <w:jc w:val="center"/>
      <w:outlineLvl w:val="1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4">
    <w:name w:val="Заголовок №4_"/>
    <w:basedOn w:val="a0"/>
    <w:link w:val="40"/>
    <w:qFormat/>
    <w:rPr>
      <w:rFonts w:ascii="Times New Roman" w:eastAsia="Times New Roman" w:hAnsi="Times New Roman" w:cs="Times New Roman"/>
      <w:spacing w:val="0"/>
      <w:sz w:val="26"/>
      <w:szCs w:val="26"/>
    </w:rPr>
  </w:style>
  <w:style w:type="paragraph" w:customStyle="1" w:styleId="40">
    <w:name w:val="Заголовок №4"/>
    <w:basedOn w:val="a"/>
    <w:link w:val="4"/>
    <w:qFormat/>
    <w:pPr>
      <w:shd w:val="clear" w:color="auto" w:fill="FFFFFF"/>
      <w:spacing w:line="480" w:lineRule="exact"/>
      <w:ind w:firstLine="5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9">
    <w:name w:val="Основной текст + Полужирный"/>
    <w:basedOn w:val="a8"/>
    <w:qFormat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12">
    <w:name w:val="Основной текст + Полужирный1"/>
    <w:basedOn w:val="a8"/>
    <w:qFormat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Основной текст + Полужирный2"/>
    <w:basedOn w:val="a8"/>
    <w:qFormat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22">
    <w:name w:val="Основной текст (2)_"/>
    <w:basedOn w:val="a0"/>
    <w:link w:val="2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23">
    <w:name w:val="Основной текст (2)"/>
    <w:basedOn w:val="a"/>
    <w:link w:val="22"/>
    <w:qFormat/>
    <w:pPr>
      <w:shd w:val="clear" w:color="auto" w:fill="FFFFFF"/>
      <w:spacing w:line="480" w:lineRule="exact"/>
      <w:ind w:firstLine="56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spacing w:val="0"/>
      <w:sz w:val="46"/>
      <w:szCs w:val="4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41">
    <w:name w:val="Основной текст (4)_"/>
    <w:basedOn w:val="a0"/>
    <w:link w:val="42"/>
    <w:qFormat/>
    <w:rPr>
      <w:rFonts w:ascii="Tahoma" w:eastAsia="Tahoma" w:hAnsi="Tahoma" w:cs="Tahoma"/>
      <w:spacing w:val="0"/>
      <w:sz w:val="16"/>
      <w:szCs w:val="16"/>
    </w:rPr>
  </w:style>
  <w:style w:type="paragraph" w:customStyle="1" w:styleId="42">
    <w:name w:val="Основной текст (4)"/>
    <w:basedOn w:val="a"/>
    <w:link w:val="41"/>
    <w:qFormat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32">
    <w:name w:val="Заголовок №3"/>
    <w:basedOn w:val="a"/>
    <w:link w:val="31"/>
    <w:qFormat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0" w:lineRule="atLeast"/>
      <w:ind w:firstLine="560"/>
      <w:jc w:val="both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sz w:val="11"/>
      <w:szCs w:val="11"/>
      <w:lang w:val="zh-CN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a">
    <w:name w:val="Нормальный (таблица)"/>
    <w:basedOn w:val="a"/>
    <w:next w:val="a"/>
    <w:uiPriority w:val="99"/>
    <w:unhideWhenUsed/>
    <w:qFormat/>
  </w:style>
  <w:style w:type="character" w:customStyle="1" w:styleId="ab">
    <w:name w:val="Цветовое выделение для Текст"/>
    <w:uiPriority w:val="99"/>
    <w:unhideWhenUsed/>
    <w:qFormat/>
    <w:rPr>
      <w:rFonts w:hint="default"/>
      <w:sz w:val="24"/>
    </w:rPr>
  </w:style>
  <w:style w:type="character" w:customStyle="1" w:styleId="a4">
    <w:name w:val="Текст выноски Знак"/>
    <w:basedOn w:val="a0"/>
    <w:link w:val="a3"/>
    <w:qFormat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org4</dc:creator>
  <cp:lastModifiedBy>org</cp:lastModifiedBy>
  <cp:revision>5</cp:revision>
  <cp:lastPrinted>2026-02-06T03:50:00Z</cp:lastPrinted>
  <dcterms:created xsi:type="dcterms:W3CDTF">2025-12-29T02:51:00Z</dcterms:created>
  <dcterms:modified xsi:type="dcterms:W3CDTF">2026-02-06T03:56:00Z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