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numPr>
          <w:ilvl w:val="0"/>
          <w:numId w:val="1"/>
        </w:numPr>
        <w:spacing w:after="0" w:line="240" w:lineRule="auto"/>
        <w:ind w:firstLine="0" w:left="0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Информация о результатах проверок, проведенных </w:t>
      </w:r>
    </w:p>
    <w:p w14:paraId="02000000">
      <w:pPr>
        <w:spacing w:after="0" w:line="240" w:lineRule="auto"/>
        <w:ind w:firstLine="0" w:left="-567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Департаментом финансов, экономики и имущественных отношений Чукотского автономного округа в 2025 году</w:t>
      </w:r>
    </w:p>
    <w:p w14:paraId="03000000">
      <w:pPr>
        <w:spacing w:after="0" w:line="240" w:lineRule="auto"/>
        <w:ind w:firstLine="0" w:left="-567"/>
        <w:jc w:val="center"/>
        <w:rPr>
          <w:rFonts w:ascii="Times New Roman" w:hAnsi="Times New Roman"/>
          <w:b w:val="1"/>
          <w:sz w:val="28"/>
        </w:rPr>
      </w:pPr>
    </w:p>
    <w:tbl>
      <w:tblPr>
        <w:tblStyle w:val="Style_1"/>
        <w:tblW w:type="auto" w:w="0"/>
        <w:jc w:val="center"/>
        <w:tblLayout w:type="fixed"/>
      </w:tblPr>
      <w:tblGrid>
        <w:gridCol w:w="563"/>
        <w:gridCol w:w="3275"/>
        <w:gridCol w:w="1819"/>
        <w:gridCol w:w="1709"/>
        <w:gridCol w:w="5529"/>
        <w:gridCol w:w="3118"/>
      </w:tblGrid>
      <w:tr>
        <w:trPr>
          <w:tblHeader/>
        </w:trP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 п/п</w:t>
            </w:r>
          </w:p>
        </w:tc>
        <w:tc>
          <w:tcPr>
            <w:tcW w:type="dxa" w:w="3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Наименование объекта контроля</w:t>
            </w:r>
          </w:p>
        </w:tc>
        <w:tc>
          <w:tcPr>
            <w:tcW w:type="dxa" w:w="1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Метод (форма) контрольного мероприятия</w:t>
            </w:r>
          </w:p>
        </w:tc>
        <w:tc>
          <w:tcPr>
            <w:tcW w:type="dxa" w:w="1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Проверяемый период</w:t>
            </w:r>
          </w:p>
        </w:tc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Тема/предмет проверки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Фактическое выполнение проверки</w:t>
            </w: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Государственное бюджетное учреждение культуры Чукотского автономного округа «ЧУКОТСКО-ЭСКИМОССКИЙ АНСАМБЛЬ «ЭРГЫРОН»</w:t>
            </w:r>
          </w:p>
        </w:tc>
        <w:tc>
          <w:tcPr>
            <w:tcW w:type="dxa" w:w="1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Плановая выездная</w:t>
            </w:r>
          </w:p>
        </w:tc>
        <w:tc>
          <w:tcPr>
            <w:tcW w:type="dxa" w:w="1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 год</w:t>
            </w:r>
          </w:p>
        </w:tc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Проверка предоставления и использования субсидий, предоставленных из бюджета публично-правового </w:t>
            </w:r>
            <w:r>
              <w:rPr>
                <w:rFonts w:ascii="Times New Roman" w:hAnsi="Times New Roman"/>
                <w:sz w:val="24"/>
              </w:rPr>
              <w:t>образования бюджетным учреждениям, и их отражения в бухгалтерском учете и бухгалтерской (финансовой) отчетности, а также проверка отчета об исполнении государственного задания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 б/н от 29.01.2025, выявлены нарушения, направлено Представление </w:t>
            </w:r>
            <w:r>
              <w:rPr>
                <w:rFonts w:ascii="Times New Roman" w:hAnsi="Times New Roman"/>
                <w:sz w:val="24"/>
              </w:rPr>
              <w:t>от 09.04.202</w:t>
            </w:r>
            <w:r>
              <w:rPr>
                <w:rFonts w:ascii="Times New Roman" w:hAnsi="Times New Roman"/>
                <w:sz w:val="24"/>
              </w:rPr>
              <w:t>5 № 3</w:t>
            </w: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3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Государственное казённое учреждение</w:t>
            </w:r>
            <w:r>
              <w:rPr>
                <w:rFonts w:ascii="Times New Roman" w:hAnsi="Times New Roman"/>
                <w:sz w:val="24"/>
              </w:rPr>
              <w:t xml:space="preserve"> Чукотского автономного округа «Чукотское лесничество»</w:t>
            </w:r>
          </w:p>
        </w:tc>
        <w:tc>
          <w:tcPr>
            <w:tcW w:type="dxa" w:w="1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Плановая, документарная </w:t>
            </w:r>
          </w:p>
        </w:tc>
        <w:tc>
          <w:tcPr>
            <w:tcW w:type="dxa" w:w="1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 01.01.2023 по 01.01.2025 </w:t>
            </w:r>
          </w:p>
          <w:p w14:paraId="1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по назначению и сохранность государственного имущества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 № 1 от 31.03.2025   Нарушения не выявлены</w:t>
            </w: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3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Департамент</w:t>
            </w:r>
            <w:r>
              <w:rPr>
                <w:rFonts w:ascii="Times New Roman" w:hAnsi="Times New Roman"/>
                <w:sz w:val="24"/>
              </w:rPr>
              <w:t xml:space="preserve"> здравоохранения Чукотского автономного округа</w:t>
            </w:r>
          </w:p>
        </w:tc>
        <w:tc>
          <w:tcPr>
            <w:tcW w:type="dxa" w:w="1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Плановая, документарная</w:t>
            </w:r>
          </w:p>
        </w:tc>
        <w:tc>
          <w:tcPr>
            <w:tcW w:type="dxa" w:w="1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 год</w:t>
            </w:r>
          </w:p>
        </w:tc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Соответствие действий (бездействий) с</w:t>
            </w:r>
            <w:r>
              <w:rPr>
                <w:rFonts w:ascii="Times New Roman" w:hAnsi="Times New Roman"/>
                <w:sz w:val="24"/>
              </w:rPr>
              <w:t>убъекта контроля требованиям законодательства Российской Федерации и иных нормативных правовых актов о контрактной системе в сфере закупок товаров, работ, услуг для обеспечения нужд Чукотского автономного округа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 № 7-03-14/1 от 04.04.2025, выявлены нару</w:t>
            </w:r>
            <w:r>
              <w:rPr>
                <w:rFonts w:ascii="Times New Roman" w:hAnsi="Times New Roman"/>
                <w:sz w:val="24"/>
              </w:rPr>
              <w:t xml:space="preserve">шения, </w:t>
            </w:r>
            <w:r>
              <w:rPr>
                <w:rFonts w:ascii="Times New Roman" w:hAnsi="Times New Roman"/>
                <w:sz w:val="24"/>
              </w:rPr>
              <w:t>представления (предписания) не выдавалось</w:t>
            </w: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3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Государственное казённое учреждение Чукотского автономного округа «Управление автомобильных дорог Чукотского автономного округа»</w:t>
            </w:r>
          </w:p>
          <w:p w14:paraId="1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Внеплановая, документарная</w:t>
            </w:r>
          </w:p>
        </w:tc>
        <w:tc>
          <w:tcPr>
            <w:tcW w:type="dxa" w:w="1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Согласование заключения контракта с </w:t>
            </w:r>
            <w:r>
              <w:rPr>
                <w:rFonts w:ascii="Times New Roman" w:hAnsi="Times New Roman"/>
                <w:sz w:val="24"/>
              </w:rPr>
              <w:t>единственным поставщиком (подрядчиком, исполнителем)</w:t>
            </w:r>
          </w:p>
          <w:p w14:paraId="2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Решение № 7-03-14/1 от 14.04.2025, выявлены нарушения, Предписание № </w:t>
            </w:r>
            <w:r>
              <w:rPr>
                <w:rFonts w:ascii="Times New Roman" w:hAnsi="Times New Roman"/>
                <w:sz w:val="24"/>
              </w:rPr>
              <w:t>1</w:t>
            </w:r>
          </w:p>
          <w:p w14:paraId="2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 </w:t>
            </w:r>
            <w:r>
              <w:rPr>
                <w:rFonts w:ascii="Times New Roman" w:hAnsi="Times New Roman"/>
                <w:sz w:val="24"/>
              </w:rPr>
              <w:t>14.04.2025</w:t>
            </w: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3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Автономное  учреждение</w:t>
            </w:r>
            <w:r>
              <w:rPr>
                <w:rFonts w:ascii="Times New Roman" w:hAnsi="Times New Roman"/>
                <w:sz w:val="24"/>
              </w:rPr>
              <w:t xml:space="preserve"> Чукотского автономного округа «Управление технического обеспечения и эксплуатации имущества Чукотского автономного округа»</w:t>
            </w:r>
          </w:p>
        </w:tc>
        <w:tc>
          <w:tcPr>
            <w:tcW w:type="dxa" w:w="1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Плановая, документарная и выездная</w:t>
            </w:r>
          </w:p>
        </w:tc>
        <w:tc>
          <w:tcPr>
            <w:tcW w:type="dxa" w:w="1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 01.01.2023 по 01.04.2025 </w:t>
            </w:r>
          </w:p>
          <w:p w14:paraId="2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по назначению и сохранность государственного имущества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 № 2 от 02.06.2025   Выявлены нарушения, даны рекомендации</w:t>
            </w: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3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Государственное</w:t>
            </w:r>
            <w:r>
              <w:rPr>
                <w:rFonts w:ascii="Times New Roman" w:hAnsi="Times New Roman"/>
                <w:sz w:val="24"/>
              </w:rPr>
              <w:t xml:space="preserve"> казенное</w:t>
            </w:r>
            <w:r>
              <w:rPr>
                <w:rFonts w:ascii="Times New Roman" w:hAnsi="Times New Roman"/>
                <w:sz w:val="24"/>
              </w:rPr>
              <w:t xml:space="preserve"> учреждение «Чукотский окружной комплексный Центр социального обслуживания населения»</w:t>
            </w:r>
          </w:p>
        </w:tc>
        <w:tc>
          <w:tcPr>
            <w:tcW w:type="dxa" w:w="1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Плановая выездная</w:t>
            </w:r>
          </w:p>
        </w:tc>
        <w:tc>
          <w:tcPr>
            <w:tcW w:type="dxa" w:w="1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 2022 года – февраль 2024 года</w:t>
            </w:r>
          </w:p>
        </w:tc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осуществления расходов бюджета публично-правового образования на реали</w:t>
            </w:r>
            <w:r>
              <w:rPr>
                <w:rFonts w:ascii="Times New Roman" w:hAnsi="Times New Roman"/>
                <w:sz w:val="24"/>
              </w:rPr>
              <w:t>зацию мероприятий государственной программы и 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</w:t>
            </w:r>
            <w:r>
              <w:rPr>
                <w:rFonts w:ascii="Times New Roman" w:hAnsi="Times New Roman"/>
                <w:sz w:val="24"/>
              </w:rPr>
              <w:t>ьных закупок для обеспечения нужд Чукотского автономного округа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 б/н от 26.06.2025, выявлены нарушения, направлено Представление </w:t>
            </w:r>
            <w:r>
              <w:rPr>
                <w:rFonts w:ascii="Times New Roman" w:hAnsi="Times New Roman"/>
                <w:sz w:val="24"/>
              </w:rPr>
              <w:t>от 04.09.2025 № 4</w:t>
            </w: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3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Департамент социальной политики Чукотского автономного округа</w:t>
            </w:r>
          </w:p>
        </w:tc>
        <w:tc>
          <w:tcPr>
            <w:tcW w:type="dxa" w:w="1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Плановая выездная</w:t>
            </w:r>
          </w:p>
        </w:tc>
        <w:tc>
          <w:tcPr>
            <w:tcW w:type="dxa" w:w="1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 2022 года – фев</w:t>
            </w:r>
            <w:r>
              <w:rPr>
                <w:rFonts w:ascii="Times New Roman" w:hAnsi="Times New Roman"/>
                <w:sz w:val="24"/>
              </w:rPr>
              <w:t>раль 2024 года</w:t>
            </w:r>
          </w:p>
        </w:tc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осуществления расходов бюджета публично-правового образования на реализацию мероприятий государственной программы и проверка соблюдения законодательства Российской Федерации и иных правовых актов о контрактной системе в сфере закупо</w:t>
            </w:r>
            <w:r>
              <w:rPr>
                <w:rFonts w:ascii="Times New Roman" w:hAnsi="Times New Roman"/>
                <w:sz w:val="24"/>
              </w:rPr>
              <w:t>к товаров, работ, услуг для обеспечения государственных и муниципальных нужд в отношении отдельных закупок для обеспечения нужд Чукотского автономного округа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 б/н от 14.07.2025, выявлены нарушения, направлено Представление </w:t>
            </w:r>
            <w:r>
              <w:rPr>
                <w:rFonts w:ascii="Times New Roman" w:hAnsi="Times New Roman"/>
                <w:sz w:val="24"/>
              </w:rPr>
              <w:t>от 19.09.2025 № 5</w:t>
            </w: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3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Департамент промышленной политики Чукотского автономного округа</w:t>
            </w:r>
          </w:p>
        </w:tc>
        <w:tc>
          <w:tcPr>
            <w:tcW w:type="dxa" w:w="1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Плановая, документарная</w:t>
            </w:r>
          </w:p>
        </w:tc>
        <w:tc>
          <w:tcPr>
            <w:tcW w:type="dxa" w:w="1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законности действий (бездействий) органа по ведению реестра подрядных организаций и комиссии по проведению предварительного отбора и их членов при проведении предварительного отбора</w:t>
            </w:r>
          </w:p>
          <w:p w14:paraId="3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 выездной проверки № 7-03-14/5 о</w:t>
            </w:r>
            <w:r>
              <w:rPr>
                <w:rFonts w:ascii="Times New Roman" w:hAnsi="Times New Roman"/>
                <w:sz w:val="24"/>
              </w:rPr>
              <w:t>т 16.07.2025</w:t>
            </w:r>
          </w:p>
          <w:p w14:paraId="4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выявлены нарушения, </w:t>
            </w:r>
            <w:r>
              <w:rPr>
                <w:rFonts w:ascii="Times New Roman" w:hAnsi="Times New Roman"/>
                <w:sz w:val="24"/>
              </w:rPr>
              <w:t>представления (предписания) не выдавалось</w:t>
            </w: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3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Департамент строительства и жилищно-коммунального хозяйства Чукотского автономного округа</w:t>
            </w:r>
          </w:p>
          <w:p w14:paraId="4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Плановая, документарная</w:t>
            </w:r>
          </w:p>
        </w:tc>
        <w:tc>
          <w:tcPr>
            <w:tcW w:type="dxa" w:w="1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Проверка законности действий (бездействий) органа по ведению реестра подрядных организаций и комиссии по проведению </w:t>
            </w:r>
            <w:r>
              <w:rPr>
                <w:rFonts w:ascii="Times New Roman" w:hAnsi="Times New Roman"/>
                <w:sz w:val="24"/>
              </w:rPr>
              <w:t>предварительного отбора и их членов при проведении предварительного отбора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 выездной проверки № 7-03-14/6 от 18.07.2025</w:t>
            </w:r>
          </w:p>
          <w:p w14:paraId="4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нарушения не выявлены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4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3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Государственное казённое учреждение «Управление капитального строительства Чукотского автономного округа»</w:t>
            </w:r>
          </w:p>
        </w:tc>
        <w:tc>
          <w:tcPr>
            <w:tcW w:type="dxa" w:w="1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Внеплан</w:t>
            </w:r>
            <w:r>
              <w:rPr>
                <w:rFonts w:ascii="Times New Roman" w:hAnsi="Times New Roman"/>
                <w:sz w:val="24"/>
              </w:rPr>
              <w:t>овая, документарная</w:t>
            </w:r>
          </w:p>
        </w:tc>
        <w:tc>
          <w:tcPr>
            <w:tcW w:type="dxa" w:w="1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Согласование заключения контракта с единственным поставщиком (подрядчиком, исполнителем)</w:t>
            </w:r>
          </w:p>
          <w:p w14:paraId="4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Решение № 7-03-14/2 от 31.07.2025, выявлены нарушения, Предписание № </w:t>
            </w:r>
            <w:r>
              <w:rPr>
                <w:rFonts w:ascii="Times New Roman" w:hAnsi="Times New Roman"/>
                <w:sz w:val="24"/>
              </w:rPr>
              <w:t>1</w:t>
            </w:r>
          </w:p>
          <w:p w14:paraId="5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 </w:t>
            </w:r>
            <w:r>
              <w:rPr>
                <w:rFonts w:ascii="Times New Roman" w:hAnsi="Times New Roman"/>
                <w:sz w:val="24"/>
              </w:rPr>
              <w:t>29.07.2025</w:t>
            </w:r>
          </w:p>
          <w:p w14:paraId="5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3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Департамент</w:t>
            </w:r>
            <w:r>
              <w:rPr>
                <w:rFonts w:ascii="Times New Roman" w:hAnsi="Times New Roman"/>
                <w:sz w:val="24"/>
              </w:rPr>
              <w:t xml:space="preserve"> образования и науки</w:t>
            </w:r>
          </w:p>
          <w:p w14:paraId="5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Чукотского автономного округа</w:t>
            </w:r>
          </w:p>
        </w:tc>
        <w:tc>
          <w:tcPr>
            <w:tcW w:type="dxa" w:w="1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Плановая выездная</w:t>
            </w:r>
          </w:p>
        </w:tc>
        <w:tc>
          <w:tcPr>
            <w:tcW w:type="dxa" w:w="1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IV квартал 2022 года – февраль 2024 года</w:t>
            </w:r>
          </w:p>
        </w:tc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предоставления субсидий, предоставленных из бюджета публично-правового образования автономным учреждениям, и их отражения в б</w:t>
            </w:r>
            <w:r>
              <w:rPr>
                <w:rFonts w:ascii="Times New Roman" w:hAnsi="Times New Roman"/>
                <w:sz w:val="24"/>
              </w:rPr>
              <w:t>ухгалтерском учете и бухгалтерской отчетности, а также проверка достоверности отчета об исполнении государственного задания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 </w:t>
            </w:r>
            <w:r>
              <w:rPr>
                <w:rFonts w:ascii="Times New Roman" w:hAnsi="Times New Roman"/>
                <w:sz w:val="24"/>
              </w:rPr>
              <w:t>б/н</w:t>
            </w:r>
            <w:r>
              <w:rPr>
                <w:rFonts w:ascii="Times New Roman" w:hAnsi="Times New Roman"/>
                <w:sz w:val="24"/>
              </w:rPr>
              <w:t xml:space="preserve"> от 23.10.2025, выявлены нарушения, направлено </w:t>
            </w:r>
            <w:r>
              <w:rPr>
                <w:rFonts w:ascii="Times New Roman" w:hAnsi="Times New Roman"/>
                <w:sz w:val="24"/>
              </w:rPr>
              <w:t xml:space="preserve">Представление от 15.12.2025 № </w:t>
            </w:r>
            <w:r>
              <w:rPr>
                <w:rFonts w:ascii="Times New Roman" w:hAnsi="Times New Roman"/>
                <w:b w:val="1"/>
                <w:sz w:val="24"/>
              </w:rPr>
              <w:t>6</w:t>
            </w: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3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Департамент промышленной политики Чукотского автономного округа</w:t>
            </w:r>
          </w:p>
        </w:tc>
        <w:tc>
          <w:tcPr>
            <w:tcW w:type="dxa" w:w="1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Плановая, документарная и выездная</w:t>
            </w:r>
          </w:p>
        </w:tc>
        <w:tc>
          <w:tcPr>
            <w:tcW w:type="dxa" w:w="1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 01.01.2024 по 01.10.2025 </w:t>
            </w:r>
          </w:p>
        </w:tc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по назначению и сохранность государственного иму</w:t>
            </w:r>
            <w:r>
              <w:rPr>
                <w:rFonts w:ascii="Times New Roman" w:hAnsi="Times New Roman"/>
                <w:sz w:val="24"/>
              </w:rPr>
              <w:t>щества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 № 3 от 04.12.2025   Выявлены нарушения, даны рекомендации</w:t>
            </w: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type="dxa" w:w="3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Аппарат Губернатора и Правительства Чукотского автономн</w:t>
            </w:r>
            <w:r>
              <w:rPr>
                <w:rFonts w:ascii="Times New Roman" w:hAnsi="Times New Roman"/>
                <w:sz w:val="24"/>
              </w:rPr>
              <w:t>ого округа</w:t>
            </w:r>
          </w:p>
        </w:tc>
        <w:tc>
          <w:tcPr>
            <w:tcW w:type="dxa" w:w="1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Внеплановая, документарная</w:t>
            </w:r>
          </w:p>
        </w:tc>
        <w:tc>
          <w:tcPr>
            <w:tcW w:type="dxa" w:w="1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Согласование заключения контракта с единственным поставщиком (подрядчиком, исполнителем)</w:t>
            </w:r>
          </w:p>
          <w:p w14:paraId="6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Решение № 7-03-14/3 от 26.12.2025, нарушения не выявлены </w:t>
            </w: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type="dxa" w:w="3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Департамент строительства и жилищно-коммунального хозяйства Чукотского автономного округа</w:t>
            </w:r>
          </w:p>
        </w:tc>
        <w:tc>
          <w:tcPr>
            <w:tcW w:type="dxa" w:w="1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Плановая, документарная и выездная</w:t>
            </w:r>
          </w:p>
        </w:tc>
        <w:tc>
          <w:tcPr>
            <w:tcW w:type="dxa" w:w="1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01.02.2024 по 10.12.2025</w:t>
            </w:r>
          </w:p>
          <w:p w14:paraId="6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по назначению и</w:t>
            </w:r>
            <w:r>
              <w:rPr>
                <w:rFonts w:ascii="Times New Roman" w:hAnsi="Times New Roman"/>
                <w:sz w:val="24"/>
              </w:rPr>
              <w:t xml:space="preserve"> сохранность государственного имущества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 № 4 от 30.12.2025   Выявлены нарушения, даны рекомендации</w:t>
            </w:r>
          </w:p>
        </w:tc>
      </w:tr>
    </w:tbl>
    <w:p w14:paraId="6F000000">
      <w:pPr>
        <w:spacing w:after="0" w:line="240" w:lineRule="auto"/>
        <w:ind w:firstLine="0" w:left="-567"/>
        <w:jc w:val="center"/>
        <w:rPr>
          <w:rFonts w:ascii="Times New Roman" w:hAnsi="Times New Roman"/>
          <w:b w:val="1"/>
          <w:sz w:val="28"/>
        </w:rPr>
      </w:pPr>
    </w:p>
    <w:p w14:paraId="70000000">
      <w:pPr>
        <w:spacing w:after="0" w:line="240" w:lineRule="auto"/>
        <w:ind w:firstLine="0" w:left="-567"/>
        <w:jc w:val="center"/>
        <w:rPr>
          <w:rFonts w:ascii="Times New Roman" w:hAnsi="Times New Roman"/>
          <w:b w:val="1"/>
          <w:sz w:val="28"/>
        </w:rPr>
      </w:pPr>
    </w:p>
    <w:p w14:paraId="71000000">
      <w:pPr>
        <w:numPr>
          <w:ilvl w:val="0"/>
          <w:numId w:val="1"/>
        </w:numPr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trike w:val="1"/>
          <w:sz w:val="28"/>
          <w:highlight w:val="yellow"/>
        </w:rPr>
      </w:pPr>
      <w:r>
        <w:rPr>
          <w:rFonts w:ascii="Times New Roman" w:hAnsi="Times New Roman"/>
          <w:b w:val="1"/>
          <w:sz w:val="28"/>
        </w:rPr>
        <w:t>Учреждениями, подведомственными Департаменту финансов и имущественных отношений Чукотского автономного округа</w:t>
      </w:r>
      <w:r>
        <w:rPr>
          <w:rFonts w:ascii="Times New Roman" w:hAnsi="Times New Roman"/>
          <w:b w:val="1"/>
          <w:sz w:val="28"/>
        </w:rPr>
        <w:t xml:space="preserve"> в 2025 году</w:t>
      </w:r>
    </w:p>
    <w:p w14:paraId="72000000">
      <w:pPr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Подведомственные Департаменту финансов и имущественных</w:t>
      </w:r>
      <w:r>
        <w:rPr>
          <w:rFonts w:ascii="Times New Roman" w:hAnsi="Times New Roman"/>
          <w:sz w:val="28"/>
        </w:rPr>
        <w:t xml:space="preserve"> отношений Чукотского автономного округ учреждения полномочиями по осуществлению контроля (надзора) не наделены</w:t>
      </w:r>
    </w:p>
    <w:p w14:paraId="73000000">
      <w:pPr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74000000">
      <w:pPr>
        <w:spacing w:after="0" w:line="240" w:lineRule="auto"/>
        <w:ind w:firstLine="0" w:left="1080"/>
        <w:rPr>
          <w:rFonts w:ascii="Times New Roman" w:hAnsi="Times New Roman"/>
          <w:b w:val="1"/>
          <w:sz w:val="28"/>
        </w:rPr>
      </w:pPr>
    </w:p>
    <w:p w14:paraId="75000000">
      <w:pPr>
        <w:numPr>
          <w:ilvl w:val="0"/>
          <w:numId w:val="1"/>
        </w:numPr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Информация о результатах проверок, проведенных в отношении Департамента финансов и имущественных отношений Чукотского автономного округа в 2025</w:t>
      </w:r>
      <w:r>
        <w:rPr>
          <w:rFonts w:ascii="Times New Roman" w:hAnsi="Times New Roman"/>
          <w:b w:val="1"/>
          <w:sz w:val="28"/>
        </w:rPr>
        <w:t xml:space="preserve"> году</w:t>
      </w:r>
    </w:p>
    <w:p w14:paraId="76000000">
      <w:pPr>
        <w:spacing w:after="0" w:line="240" w:lineRule="auto"/>
        <w:ind w:firstLine="0" w:left="-567"/>
        <w:jc w:val="center"/>
        <w:rPr>
          <w:rFonts w:ascii="Times New Roman" w:hAnsi="Times New Roman"/>
          <w:b w:val="1"/>
          <w:sz w:val="28"/>
        </w:rPr>
      </w:pPr>
    </w:p>
    <w:tbl>
      <w:tblPr>
        <w:tblStyle w:val="Style_2"/>
        <w:tblW w:type="auto" w:w="0"/>
        <w:tblInd w:type="dxa" w:w="-289"/>
        <w:tblLayout w:type="fixed"/>
      </w:tblPr>
      <w:tblGrid>
        <w:gridCol w:w="568"/>
        <w:gridCol w:w="3969"/>
        <w:gridCol w:w="2126"/>
        <w:gridCol w:w="5245"/>
        <w:gridCol w:w="3118"/>
      </w:tblGrid>
      <w:tr>
        <w:tc>
          <w:tcPr>
            <w:tcW w:type="dxa" w:w="568"/>
          </w:tcPr>
          <w:p w14:paraId="7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 п/п</w:t>
            </w:r>
          </w:p>
        </w:tc>
        <w:tc>
          <w:tcPr>
            <w:tcW w:type="dxa" w:w="3969"/>
          </w:tcPr>
          <w:p w14:paraId="7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Орган контроля</w:t>
            </w:r>
          </w:p>
        </w:tc>
        <w:tc>
          <w:tcPr>
            <w:tcW w:type="dxa" w:w="2126"/>
          </w:tcPr>
          <w:p w14:paraId="7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Проверяемый период</w:t>
            </w:r>
          </w:p>
        </w:tc>
        <w:tc>
          <w:tcPr>
            <w:tcW w:type="dxa" w:w="5245"/>
          </w:tcPr>
          <w:p w14:paraId="7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Тема (предмет) проверки</w:t>
            </w:r>
          </w:p>
        </w:tc>
        <w:tc>
          <w:tcPr>
            <w:tcW w:type="dxa" w:w="3118"/>
          </w:tcPr>
          <w:p w14:paraId="7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Фактическое выполнение проверки</w:t>
            </w:r>
          </w:p>
        </w:tc>
      </w:tr>
      <w:tr>
        <w:tc>
          <w:tcPr>
            <w:tcW w:type="dxa" w:w="568"/>
          </w:tcPr>
          <w:p w14:paraId="7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969"/>
          </w:tcPr>
          <w:p w14:paraId="7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Счетная палата Чукотского автономного округа</w:t>
            </w:r>
          </w:p>
        </w:tc>
        <w:tc>
          <w:tcPr>
            <w:tcW w:type="dxa" w:w="2126"/>
          </w:tcPr>
          <w:p w14:paraId="7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type="dxa" w:w="5245"/>
          </w:tcPr>
          <w:p w14:paraId="7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Осуществление</w:t>
            </w:r>
            <w:r>
              <w:rPr>
                <w:rFonts w:ascii="Times New Roman" w:hAnsi="Times New Roman"/>
                <w:sz w:val="24"/>
              </w:rPr>
              <w:t xml:space="preserve"> Департаментом финансов и имущественных отношений Чукотского автономного округа полномочий по управлению государственным имуществом Чукотского автономного округа в 2024 году</w:t>
            </w:r>
          </w:p>
        </w:tc>
        <w:tc>
          <w:tcPr>
            <w:tcW w:type="dxa" w:w="3118"/>
          </w:tcPr>
          <w:p w14:paraId="8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 № б/н от 31.01.2025 </w:t>
            </w:r>
          </w:p>
          <w:p w14:paraId="8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Выявлены нарушения, даны рекомендации</w:t>
            </w:r>
          </w:p>
        </w:tc>
      </w:tr>
      <w:tr>
        <w:tc>
          <w:tcPr>
            <w:tcW w:type="dxa" w:w="568"/>
          </w:tcPr>
          <w:p w14:paraId="8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3969"/>
          </w:tcPr>
          <w:p w14:paraId="8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Прокуратура Чуко</w:t>
            </w:r>
            <w:r>
              <w:rPr>
                <w:rFonts w:ascii="Times New Roman" w:hAnsi="Times New Roman"/>
                <w:sz w:val="24"/>
              </w:rPr>
              <w:t>тского автономного округа</w:t>
            </w:r>
          </w:p>
        </w:tc>
        <w:tc>
          <w:tcPr>
            <w:tcW w:type="dxa" w:w="2126"/>
          </w:tcPr>
          <w:p w14:paraId="8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type="dxa" w:w="5245"/>
          </w:tcPr>
          <w:p w14:paraId="8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Мобилизационная подготовка</w:t>
            </w:r>
          </w:p>
        </w:tc>
        <w:tc>
          <w:tcPr>
            <w:tcW w:type="dxa" w:w="3118"/>
          </w:tcPr>
          <w:p w14:paraId="8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 Прокуратуры Чукотского автономного округа от 20.01.2026</w:t>
            </w:r>
          </w:p>
        </w:tc>
      </w:tr>
      <w:tr>
        <w:tc>
          <w:tcPr>
            <w:tcW w:type="dxa" w:w="568"/>
          </w:tcPr>
          <w:p w14:paraId="8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3969"/>
          </w:tcPr>
          <w:p w14:paraId="8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Федерального казначейства по Чукотскому автономному округу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2022 – истекший период 2025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Обследование</w:t>
            </w:r>
            <w:r>
              <w:rPr>
                <w:rFonts w:ascii="Times New Roman" w:hAnsi="Times New Roman"/>
                <w:sz w:val="24"/>
              </w:rPr>
              <w:t xml:space="preserve"> соблюдения условий соглашений о предоставлении бюджетам субъектов Российской Федерации из федерального бюджета бюджетных кредитов на финансовое обеспечение реализации инфраструктурных проектов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Заключение о результатах обследования Департамента финансов и </w:t>
            </w:r>
            <w:r>
              <w:rPr>
                <w:rFonts w:ascii="Times New Roman" w:hAnsi="Times New Roman"/>
                <w:sz w:val="24"/>
              </w:rPr>
              <w:t>имущественных отношений Чукотского автономного округа от 23.01.2026.</w:t>
            </w:r>
          </w:p>
          <w:p w14:paraId="8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Информация о выявленных нарушениях отсутствует.</w:t>
            </w:r>
          </w:p>
        </w:tc>
      </w:tr>
      <w:tr>
        <w:tc>
          <w:tcPr>
            <w:tcW w:type="dxa" w:w="568"/>
          </w:tcPr>
          <w:p w14:paraId="8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3969"/>
          </w:tcPr>
          <w:p w14:paraId="8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Федерального казначейства по Чукотскому автономному округу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2025 год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эффективности и целевого использования субъекта</w:t>
            </w:r>
            <w:r>
              <w:rPr>
                <w:rFonts w:ascii="Times New Roman" w:hAnsi="Times New Roman"/>
                <w:sz w:val="24"/>
              </w:rPr>
              <w:t>ми Российской Федерации бюджетных кредитов на пополнение остатка средств на едином счете бюджета на осуществление северного завоза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Заключение о результатах обследования Департамента финансов и имущественных отношений Чукотского автономного округа от 26.11.</w:t>
            </w:r>
            <w:r>
              <w:rPr>
                <w:rFonts w:ascii="Times New Roman" w:hAnsi="Times New Roman"/>
                <w:sz w:val="24"/>
              </w:rPr>
              <w:t>2025.</w:t>
            </w:r>
          </w:p>
          <w:p w14:paraId="9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Информация о выявленных нарушениях отсутствует.</w:t>
            </w:r>
          </w:p>
        </w:tc>
      </w:tr>
    </w:tbl>
    <w:p w14:paraId="93000000">
      <w:pPr>
        <w:spacing w:after="0" w:line="240" w:lineRule="auto"/>
        <w:ind w:firstLine="0" w:left="-337"/>
        <w:rPr>
          <w:rFonts w:ascii="Times New Roman" w:hAnsi="Times New Roman"/>
          <w:b w:val="1"/>
          <w:sz w:val="28"/>
        </w:rPr>
      </w:pPr>
    </w:p>
    <w:p w14:paraId="94000000">
      <w:pPr>
        <w:spacing w:after="0" w:line="240" w:lineRule="auto"/>
        <w:ind w:firstLine="0" w:left="-337"/>
        <w:rPr>
          <w:rFonts w:ascii="Times New Roman" w:hAnsi="Times New Roman"/>
          <w:b w:val="1"/>
          <w:sz w:val="28"/>
        </w:rPr>
      </w:pPr>
    </w:p>
    <w:p w14:paraId="95000000">
      <w:pPr>
        <w:spacing w:after="0" w:line="240" w:lineRule="auto"/>
        <w:ind w:firstLine="0" w:left="-337"/>
        <w:rPr>
          <w:rFonts w:ascii="Times New Roman" w:hAnsi="Times New Roman"/>
          <w:b w:val="1"/>
          <w:sz w:val="28"/>
        </w:rPr>
      </w:pPr>
    </w:p>
    <w:p w14:paraId="96000000">
      <w:pPr>
        <w:spacing w:after="0" w:line="240" w:lineRule="auto"/>
        <w:ind w:firstLine="0" w:left="-337"/>
        <w:rPr>
          <w:rFonts w:ascii="Times New Roman" w:hAnsi="Times New Roman"/>
          <w:b w:val="1"/>
          <w:sz w:val="28"/>
        </w:rPr>
      </w:pPr>
    </w:p>
    <w:p w14:paraId="97000000">
      <w:pPr>
        <w:spacing w:after="0" w:line="240" w:lineRule="auto"/>
        <w:ind w:firstLine="0" w:left="-337"/>
        <w:rPr>
          <w:rFonts w:ascii="Times New Roman" w:hAnsi="Times New Roman"/>
          <w:b w:val="1"/>
          <w:sz w:val="28"/>
        </w:rPr>
      </w:pPr>
    </w:p>
    <w:p w14:paraId="98000000">
      <w:pPr>
        <w:numPr>
          <w:ilvl w:val="0"/>
          <w:numId w:val="1"/>
        </w:numPr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Информация о результатах проверок, проведенных в отношении учреждений, подведомственных Департаменту финансов и имущественных отношений Чукотского автономного округа в 2025 году</w:t>
      </w:r>
    </w:p>
    <w:p w14:paraId="99000000">
      <w:pPr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8"/>
        </w:rPr>
      </w:pPr>
    </w:p>
    <w:tbl>
      <w:tblPr>
        <w:tblStyle w:val="Style_2"/>
        <w:tblW w:type="auto" w:w="0"/>
        <w:jc w:val="center"/>
        <w:tblLayout w:type="fixed"/>
      </w:tblPr>
      <w:tblGrid>
        <w:gridCol w:w="562"/>
        <w:gridCol w:w="3969"/>
        <w:gridCol w:w="2127"/>
        <w:gridCol w:w="5244"/>
        <w:gridCol w:w="3119"/>
      </w:tblGrid>
      <w:tr>
        <w:trPr>
          <w:tblHeader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 п/п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Орган </w:t>
            </w:r>
            <w:r>
              <w:rPr>
                <w:rFonts w:ascii="Times New Roman" w:hAnsi="Times New Roman"/>
                <w:b w:val="1"/>
                <w:sz w:val="24"/>
              </w:rPr>
              <w:t>контроля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Проверяемый период</w:t>
            </w:r>
          </w:p>
        </w:tc>
        <w:tc>
          <w:tcPr>
            <w:tcW w:type="dxa" w:w="5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Тема (предмет) проверки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Фактическое выполнение проверки</w:t>
            </w:r>
          </w:p>
        </w:tc>
      </w:tr>
      <w:tr>
        <w:trPr>
          <w:tblHeader/>
        </w:trPr>
        <w:tc>
          <w:tcPr>
            <w:tcW w:type="dxa" w:w="15021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Государственное казённое учреждение «Управление государственных закупок Чукотского автономного округа»</w:t>
            </w:r>
          </w:p>
        </w:tc>
      </w:tr>
      <w:tr>
        <w:trPr>
          <w:trHeight w:hRule="atLeast" w:val="330"/>
          <w:tblHeader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5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>
        <w:trPr>
          <w:tblHeader/>
        </w:trPr>
        <w:tc>
          <w:tcPr>
            <w:tcW w:type="dxa" w:w="15021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Государственное бюджетное учреждение Чукотского </w:t>
            </w:r>
            <w:r>
              <w:rPr>
                <w:rFonts w:ascii="Times New Roman" w:hAnsi="Times New Roman"/>
                <w:b w:val="1"/>
                <w:sz w:val="28"/>
              </w:rPr>
              <w:t>автономного округа «Центр государственной кадастровой оценки и технического архива Чукотского автономного округа»</w:t>
            </w:r>
          </w:p>
        </w:tc>
      </w:tr>
      <w:tr>
        <w:trPr>
          <w:tblHeader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Департамент финансов и имущественных отношений Чукотского автономного округа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type="dxa" w:w="5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Готовность </w:t>
            </w:r>
            <w:r>
              <w:rPr>
                <w:rFonts w:ascii="Times New Roman" w:hAnsi="Times New Roman"/>
                <w:sz w:val="24"/>
              </w:rPr>
              <w:t xml:space="preserve">Государственного бюджетного учреждения Чукотского автономного округа «Центр государственной кадастровой оценки и технического архива Чукотского автономного округа» к выполнению мобилизационного задания на оказание услуг в условиях военного времени </w:t>
            </w:r>
          </w:p>
          <w:p w14:paraId="A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 от 30.10.2025,</w:t>
            </w:r>
          </w:p>
          <w:p w14:paraId="A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нарушения не в</w:t>
            </w:r>
            <w:bookmarkStart w:id="1" w:name="_GoBack"/>
            <w:bookmarkEnd w:id="1"/>
            <w:r>
              <w:rPr>
                <w:rFonts w:ascii="Times New Roman" w:hAnsi="Times New Roman"/>
                <w:sz w:val="24"/>
              </w:rPr>
              <w:t>ыявлены</w:t>
            </w:r>
          </w:p>
        </w:tc>
      </w:tr>
    </w:tbl>
    <w:p w14:paraId="AD000000">
      <w:pPr>
        <w:rPr>
          <w:rFonts w:ascii="Times New Roman" w:hAnsi="Times New Roman"/>
          <w:sz w:val="28"/>
        </w:rPr>
      </w:pPr>
    </w:p>
    <w:sectPr>
      <w:pgSz w:h="11906" w:orient="landscape" w:w="16838"/>
      <w:pgMar w:bottom="850" w:footer="708" w:gutter="0" w:header="708" w:left="1134" w:right="1134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upperRoman"/>
      <w:lvlText w:val="%1."/>
      <w:lvlJc w:val="left"/>
      <w:pPr>
        <w:ind w:hanging="720" w:left="153"/>
      </w:pPr>
      <w:rPr>
        <w:b w:val="1"/>
      </w:rPr>
    </w:lvl>
    <w:lvl w:ilvl="1">
      <w:start w:val="1"/>
      <w:numFmt w:val="lowerLetter"/>
      <w:lvlText w:val="%2."/>
      <w:lvlJc w:val="left"/>
      <w:pPr>
        <w:ind w:hanging="360" w:left="513"/>
      </w:pPr>
    </w:lvl>
    <w:lvl w:ilvl="2">
      <w:start w:val="1"/>
      <w:numFmt w:val="lowerRoman"/>
      <w:lvlText w:val="%3."/>
      <w:lvlJc w:val="right"/>
      <w:pPr>
        <w:ind w:hanging="180" w:left="1233"/>
      </w:pPr>
    </w:lvl>
    <w:lvl w:ilvl="3">
      <w:start w:val="1"/>
      <w:numFmt w:val="decimal"/>
      <w:lvlText w:val="%4."/>
      <w:lvlJc w:val="left"/>
      <w:pPr>
        <w:ind w:hanging="360" w:left="1953"/>
      </w:pPr>
    </w:lvl>
    <w:lvl w:ilvl="4">
      <w:start w:val="1"/>
      <w:numFmt w:val="lowerLetter"/>
      <w:lvlText w:val="%5."/>
      <w:lvlJc w:val="left"/>
      <w:pPr>
        <w:ind w:hanging="360" w:left="2673"/>
      </w:pPr>
    </w:lvl>
    <w:lvl w:ilvl="5">
      <w:start w:val="1"/>
      <w:numFmt w:val="lowerRoman"/>
      <w:lvlText w:val="%6."/>
      <w:lvlJc w:val="right"/>
      <w:pPr>
        <w:ind w:hanging="180" w:left="3393"/>
      </w:pPr>
    </w:lvl>
    <w:lvl w:ilvl="6">
      <w:start w:val="1"/>
      <w:numFmt w:val="decimal"/>
      <w:lvlText w:val="%7."/>
      <w:lvlJc w:val="left"/>
      <w:pPr>
        <w:ind w:hanging="360" w:left="4113"/>
      </w:pPr>
    </w:lvl>
    <w:lvl w:ilvl="7">
      <w:start w:val="1"/>
      <w:numFmt w:val="lowerLetter"/>
      <w:lvlText w:val="%8."/>
      <w:lvlJc w:val="left"/>
      <w:pPr>
        <w:ind w:hanging="360" w:left="4833"/>
      </w:pPr>
    </w:lvl>
    <w:lvl w:ilvl="8">
      <w:start w:val="1"/>
      <w:numFmt w:val="lowerRoman"/>
      <w:lvlText w:val="%9."/>
      <w:lvlJc w:val="right"/>
      <w:pPr>
        <w:ind w:hanging="180" w:left="5553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200" w:line="276" w:lineRule="auto"/>
      <w:ind/>
    </w:pPr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heading 7"/>
    <w:basedOn w:val="Style_3"/>
    <w:next w:val="Style_3"/>
    <w:link w:val="Style_6_ch"/>
    <w:uiPriority w:val="9"/>
    <w:qFormat/>
    <w:pPr>
      <w:keepNext w:val="1"/>
      <w:keepLines w:val="1"/>
      <w:spacing w:after="0" w:before="40"/>
      <w:ind/>
      <w:outlineLvl w:val="6"/>
    </w:pPr>
    <w:rPr>
      <w:color w:themeColor="text1" w:themeTint="A6" w:val="595959"/>
    </w:rPr>
  </w:style>
  <w:style w:styleId="Style_6_ch" w:type="character">
    <w:name w:val="heading 7"/>
    <w:basedOn w:val="Style_3_ch"/>
    <w:link w:val="Style_6"/>
    <w:rPr>
      <w:color w:themeColor="text1" w:themeTint="A6" w:val="595959"/>
    </w:rPr>
  </w:style>
  <w:style w:styleId="Style_7" w:type="paragraph">
    <w:name w:val="toc 6"/>
    <w:next w:val="Style_3"/>
    <w:link w:val="Style_7_ch"/>
    <w:uiPriority w:val="39"/>
    <w:pPr>
      <w:ind w:firstLine="0"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</w:rPr>
  </w:style>
  <w:style w:styleId="Style_9_ch" w:type="character">
    <w:name w:val="Endnote"/>
    <w:link w:val="Style_9"/>
    <w:rPr>
      <w:rFonts w:ascii="XO Thames" w:hAnsi="XO Thames"/>
    </w:rPr>
  </w:style>
  <w:style w:styleId="Style_10" w:type="paragraph">
    <w:name w:val="heading 3"/>
    <w:basedOn w:val="Style_3"/>
    <w:next w:val="Style_3"/>
    <w:link w:val="Style_10_ch"/>
    <w:uiPriority w:val="9"/>
    <w:qFormat/>
    <w:pPr>
      <w:keepNext w:val="1"/>
      <w:keepLines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10_ch" w:type="character">
    <w:name w:val="heading 3"/>
    <w:basedOn w:val="Style_3_ch"/>
    <w:link w:val="Style_10"/>
    <w:rPr>
      <w:color w:themeColor="accent1" w:themeShade="BF" w:val="2F5496"/>
      <w:sz w:val="28"/>
    </w:rPr>
  </w:style>
  <w:style w:styleId="Style_11" w:type="paragraph">
    <w:name w:val="Quote"/>
    <w:basedOn w:val="Style_3"/>
    <w:next w:val="Style_3"/>
    <w:link w:val="Style_11_ch"/>
    <w:pPr>
      <w:spacing w:before="160"/>
      <w:ind/>
      <w:jc w:val="center"/>
    </w:pPr>
    <w:rPr>
      <w:i w:val="1"/>
      <w:color w:themeColor="text1" w:themeTint="BF" w:val="404040"/>
    </w:rPr>
  </w:style>
  <w:style w:styleId="Style_11_ch" w:type="character">
    <w:name w:val="Quote"/>
    <w:basedOn w:val="Style_3_ch"/>
    <w:link w:val="Style_11"/>
    <w:rPr>
      <w:i w:val="1"/>
      <w:color w:themeColor="text1" w:themeTint="BF" w:val="404040"/>
    </w:rPr>
  </w:style>
  <w:style w:styleId="Style_12" w:type="paragraph">
    <w:name w:val="heading 9"/>
    <w:basedOn w:val="Style_3"/>
    <w:next w:val="Style_3"/>
    <w:link w:val="Style_12_ch"/>
    <w:uiPriority w:val="9"/>
    <w:qFormat/>
    <w:pPr>
      <w:keepNext w:val="1"/>
      <w:keepLines w:val="1"/>
      <w:spacing w:after="0"/>
      <w:ind/>
      <w:outlineLvl w:val="8"/>
    </w:pPr>
    <w:rPr>
      <w:color w:themeColor="text1" w:themeTint="D8" w:val="272727"/>
    </w:rPr>
  </w:style>
  <w:style w:styleId="Style_12_ch" w:type="character">
    <w:name w:val="heading 9"/>
    <w:basedOn w:val="Style_3_ch"/>
    <w:link w:val="Style_12"/>
    <w:rPr>
      <w:color w:themeColor="text1" w:themeTint="D8" w:val="272727"/>
    </w:rPr>
  </w:style>
  <w:style w:styleId="Style_13" w:type="paragraph">
    <w:name w:val="toc 3"/>
    <w:next w:val="Style_3"/>
    <w:link w:val="Style_13_ch"/>
    <w:uiPriority w:val="39"/>
    <w:pPr>
      <w:ind w:firstLine="0" w:left="400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List Paragraph"/>
    <w:basedOn w:val="Style_3"/>
    <w:link w:val="Style_14_ch"/>
    <w:pPr>
      <w:ind w:firstLine="0" w:left="720"/>
      <w:contextualSpacing w:val="1"/>
    </w:pPr>
  </w:style>
  <w:style w:styleId="Style_14_ch" w:type="character">
    <w:name w:val="List Paragraph"/>
    <w:basedOn w:val="Style_3_ch"/>
    <w:link w:val="Style_14"/>
  </w:style>
  <w:style w:styleId="Style_15" w:type="paragraph">
    <w:name w:val="Основной шрифт абзаца1"/>
    <w:link w:val="Style_15_ch"/>
  </w:style>
  <w:style w:styleId="Style_15_ch" w:type="character">
    <w:name w:val="Основной шрифт абзаца1"/>
    <w:link w:val="Style_15"/>
  </w:style>
  <w:style w:styleId="Style_16" w:type="paragraph">
    <w:name w:val="heading 5"/>
    <w:basedOn w:val="Style_3"/>
    <w:next w:val="Style_3"/>
    <w:link w:val="Style_16_ch"/>
    <w:uiPriority w:val="9"/>
    <w:qFormat/>
    <w:pPr>
      <w:keepNext w:val="1"/>
      <w:keepLines w:val="1"/>
      <w:spacing w:after="40" w:before="80"/>
      <w:ind/>
      <w:outlineLvl w:val="4"/>
    </w:pPr>
    <w:rPr>
      <w:color w:themeColor="accent1" w:themeShade="BF" w:val="2F5496"/>
    </w:rPr>
  </w:style>
  <w:style w:styleId="Style_16_ch" w:type="character">
    <w:name w:val="heading 5"/>
    <w:basedOn w:val="Style_3_ch"/>
    <w:link w:val="Style_16"/>
    <w:rPr>
      <w:color w:themeColor="accent1" w:themeShade="BF" w:val="2F5496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heading 1"/>
    <w:basedOn w:val="Style_3"/>
    <w:next w:val="Style_3"/>
    <w:link w:val="Style_18_ch"/>
    <w:uiPriority w:val="9"/>
    <w:qFormat/>
    <w:pPr>
      <w:keepNext w:val="1"/>
      <w:keepLines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8_ch" w:type="character">
    <w:name w:val="heading 1"/>
    <w:basedOn w:val="Style_3_ch"/>
    <w:link w:val="Style_18"/>
    <w:rPr>
      <w:rFonts w:asciiTheme="majorAscii" w:hAnsiTheme="majorHAnsi"/>
      <w:color w:themeColor="accent1" w:themeShade="BF" w:val="2F5496"/>
      <w:sz w:val="40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</w:rPr>
  </w:style>
  <w:style w:styleId="Style_20_ch" w:type="character">
    <w:name w:val="Footnote"/>
    <w:link w:val="Style_20"/>
    <w:rPr>
      <w:rFonts w:ascii="XO Thames" w:hAnsi="XO Thames"/>
    </w:rPr>
  </w:style>
  <w:style w:styleId="Style_21" w:type="paragraph">
    <w:name w:val="heading 8"/>
    <w:basedOn w:val="Style_3"/>
    <w:next w:val="Style_3"/>
    <w:link w:val="Style_21_ch"/>
    <w:uiPriority w:val="9"/>
    <w:qFormat/>
    <w:pPr>
      <w:keepNext w:val="1"/>
      <w:keepLines w:val="1"/>
      <w:spacing w:after="0"/>
      <w:ind/>
      <w:outlineLvl w:val="7"/>
    </w:pPr>
    <w:rPr>
      <w:i w:val="1"/>
      <w:color w:themeColor="text1" w:themeTint="D8" w:val="272727"/>
    </w:rPr>
  </w:style>
  <w:style w:styleId="Style_21_ch" w:type="character">
    <w:name w:val="heading 8"/>
    <w:basedOn w:val="Style_3_ch"/>
    <w:link w:val="Style_21"/>
    <w:rPr>
      <w:i w:val="1"/>
      <w:color w:themeColor="text1" w:themeTint="D8" w:val="272727"/>
    </w:rPr>
  </w:style>
  <w:style w:styleId="Style_22" w:type="paragraph">
    <w:name w:val="toc 1"/>
    <w:next w:val="Style_3"/>
    <w:link w:val="Style_22_ch"/>
    <w:uiPriority w:val="39"/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Обычный1"/>
    <w:link w:val="Style_24_ch"/>
  </w:style>
  <w:style w:styleId="Style_24_ch" w:type="character">
    <w:name w:val="Обычный1"/>
    <w:link w:val="Style_24"/>
  </w:style>
  <w:style w:styleId="Style_25" w:type="paragraph">
    <w:name w:val="toc 9"/>
    <w:next w:val="Style_3"/>
    <w:link w:val="Style_25_ch"/>
    <w:uiPriority w:val="39"/>
    <w:pPr>
      <w:ind w:firstLine="0" w:left="1600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3"/>
    <w:link w:val="Style_26_ch"/>
    <w:uiPriority w:val="39"/>
    <w:pPr>
      <w:ind w:firstLine="0" w:left="1400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oc 5"/>
    <w:next w:val="Style_3"/>
    <w:link w:val="Style_27_ch"/>
    <w:uiPriority w:val="39"/>
    <w:pPr>
      <w:ind w:firstLine="0" w:left="800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Сильная ссылка1"/>
    <w:basedOn w:val="Style_15"/>
    <w:link w:val="Style_28_ch"/>
    <w:rPr>
      <w:b w:val="1"/>
      <w:smallCaps w:val="1"/>
      <w:color w:themeColor="accent1" w:themeShade="BF" w:val="2F5496"/>
      <w:spacing w:val="5"/>
    </w:rPr>
  </w:style>
  <w:style w:styleId="Style_28_ch" w:type="character">
    <w:name w:val="Сильная ссылка1"/>
    <w:basedOn w:val="Style_15_ch"/>
    <w:link w:val="Style_28"/>
    <w:rPr>
      <w:b w:val="1"/>
      <w:smallCaps w:val="1"/>
      <w:color w:themeColor="accent1" w:themeShade="BF" w:val="2F5496"/>
      <w:spacing w:val="5"/>
    </w:rPr>
  </w:style>
  <w:style w:styleId="Style_29" w:type="paragraph">
    <w:name w:val="Intense Quote"/>
    <w:basedOn w:val="Style_3"/>
    <w:next w:val="Style_3"/>
    <w:link w:val="Style_29_ch"/>
    <w:pPr>
      <w:spacing w:after="360" w:before="360"/>
      <w:ind w:firstLine="0" w:left="864" w:right="864"/>
      <w:jc w:val="center"/>
    </w:pPr>
    <w:rPr>
      <w:i w:val="1"/>
      <w:color w:themeColor="accent1" w:themeShade="BF" w:val="2F5496"/>
    </w:rPr>
  </w:style>
  <w:style w:styleId="Style_29_ch" w:type="character">
    <w:name w:val="Intense Quote"/>
    <w:basedOn w:val="Style_3_ch"/>
    <w:link w:val="Style_29"/>
    <w:rPr>
      <w:i w:val="1"/>
      <w:color w:themeColor="accent1" w:themeShade="BF" w:val="2F5496"/>
    </w:rPr>
  </w:style>
  <w:style w:styleId="Style_30" w:type="paragraph">
    <w:name w:val="Subtitle"/>
    <w:basedOn w:val="Style_3"/>
    <w:next w:val="Style_3"/>
    <w:link w:val="Style_30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30_ch" w:type="character">
    <w:name w:val="Subtitle"/>
    <w:basedOn w:val="Style_3_ch"/>
    <w:link w:val="Style_30"/>
    <w:rPr>
      <w:color w:themeColor="text1" w:themeTint="A6" w:val="595959"/>
      <w:spacing w:val="15"/>
      <w:sz w:val="28"/>
    </w:rPr>
  </w:style>
  <w:style w:styleId="Style_31" w:type="paragraph">
    <w:name w:val="Title"/>
    <w:basedOn w:val="Style_3"/>
    <w:next w:val="Style_3"/>
    <w:link w:val="Style_31_ch"/>
    <w:uiPriority w:val="10"/>
    <w:qFormat/>
    <w:pPr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31_ch" w:type="character">
    <w:name w:val="Title"/>
    <w:basedOn w:val="Style_3_ch"/>
    <w:link w:val="Style_31"/>
    <w:rPr>
      <w:rFonts w:asciiTheme="majorAscii" w:hAnsiTheme="majorHAnsi"/>
      <w:spacing w:val="-10"/>
      <w:sz w:val="56"/>
    </w:rPr>
  </w:style>
  <w:style w:styleId="Style_32" w:type="paragraph">
    <w:name w:val="heading 4"/>
    <w:basedOn w:val="Style_3"/>
    <w:next w:val="Style_3"/>
    <w:link w:val="Style_32_ch"/>
    <w:uiPriority w:val="9"/>
    <w:qFormat/>
    <w:pPr>
      <w:keepNext w:val="1"/>
      <w:keepLines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32_ch" w:type="character">
    <w:name w:val="heading 4"/>
    <w:basedOn w:val="Style_3_ch"/>
    <w:link w:val="Style_32"/>
    <w:rPr>
      <w:i w:val="1"/>
      <w:color w:themeColor="accent1" w:themeShade="BF" w:val="2F5496"/>
    </w:rPr>
  </w:style>
  <w:style w:styleId="Style_33" w:type="paragraph">
    <w:name w:val="Гиперссылка1"/>
    <w:link w:val="Style_33_ch"/>
    <w:rPr>
      <w:color w:val="0000FF"/>
      <w:u w:val="single"/>
    </w:rPr>
  </w:style>
  <w:style w:styleId="Style_33_ch" w:type="character">
    <w:name w:val="Гиперссылка1"/>
    <w:link w:val="Style_33"/>
    <w:rPr>
      <w:color w:val="0000FF"/>
      <w:u w:val="single"/>
    </w:rPr>
  </w:style>
  <w:style w:styleId="Style_34" w:type="paragraph">
    <w:name w:val="Сильное выделение1"/>
    <w:basedOn w:val="Style_15"/>
    <w:link w:val="Style_34_ch"/>
    <w:rPr>
      <w:i w:val="1"/>
      <w:color w:themeColor="accent1" w:themeShade="BF" w:val="2F5496"/>
    </w:rPr>
  </w:style>
  <w:style w:styleId="Style_34_ch" w:type="character">
    <w:name w:val="Сильное выделение1"/>
    <w:basedOn w:val="Style_15_ch"/>
    <w:link w:val="Style_34"/>
    <w:rPr>
      <w:i w:val="1"/>
      <w:color w:themeColor="accent1" w:themeShade="BF" w:val="2F5496"/>
    </w:rPr>
  </w:style>
  <w:style w:styleId="Style_35" w:type="paragraph">
    <w:name w:val="heading 2"/>
    <w:basedOn w:val="Style_3"/>
    <w:next w:val="Style_3"/>
    <w:link w:val="Style_35_ch"/>
    <w:uiPriority w:val="9"/>
    <w:qFormat/>
    <w:pPr>
      <w:keepNext w:val="1"/>
      <w:keepLines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5_ch" w:type="character">
    <w:name w:val="heading 2"/>
    <w:basedOn w:val="Style_3_ch"/>
    <w:link w:val="Style_35"/>
    <w:rPr>
      <w:rFonts w:asciiTheme="majorAscii" w:hAnsiTheme="majorHAnsi"/>
      <w:color w:themeColor="accent1" w:themeShade="BF" w:val="2F5496"/>
      <w:sz w:val="32"/>
    </w:rPr>
  </w:style>
  <w:style w:styleId="Style_36" w:type="paragraph">
    <w:name w:val="heading 6"/>
    <w:basedOn w:val="Style_3"/>
    <w:next w:val="Style_3"/>
    <w:link w:val="Style_36_ch"/>
    <w:uiPriority w:val="9"/>
    <w:qFormat/>
    <w:pPr>
      <w:keepNext w:val="1"/>
      <w:keepLines w:val="1"/>
      <w:spacing w:after="0" w:before="40"/>
      <w:ind/>
      <w:outlineLvl w:val="5"/>
    </w:pPr>
    <w:rPr>
      <w:i w:val="1"/>
      <w:color w:themeColor="text1" w:themeTint="A6" w:val="595959"/>
    </w:rPr>
  </w:style>
  <w:style w:styleId="Style_36_ch" w:type="character">
    <w:name w:val="heading 6"/>
    <w:basedOn w:val="Style_3_ch"/>
    <w:link w:val="Style_36"/>
    <w:rPr>
      <w:i w:val="1"/>
      <w:color w:themeColor="text1" w:themeTint="A6" w:val="595959"/>
    </w:rPr>
  </w:style>
  <w:style w:default="1" w:styleId="Style_3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37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" w:type="table">
    <w:name w:val="Сетка таблицы1"/>
    <w:basedOn w:val="Style_37"/>
    <w:pPr>
      <w:spacing w:after="0" w:line="240" w:lineRule="auto"/>
      <w:ind/>
    </w:pPr>
    <w:rPr>
      <w:rFonts w:ascii="Calibri" w:hAnsi="Calibri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2026-04-28T21:56:46Z</dcterms:modified>
</cp:coreProperties>
</file>