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24" w:rsidRDefault="009A7524" w:rsidP="009A7524">
      <w:pPr>
        <w:pStyle w:val="ConsNormal"/>
        <w:widowControl/>
        <w:ind w:left="1119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A7524" w:rsidRPr="009A7524" w:rsidRDefault="009A7524" w:rsidP="009A7524">
      <w:pPr>
        <w:pStyle w:val="ConsNormal"/>
        <w:widowControl/>
        <w:ind w:left="1119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006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Положению </w:t>
      </w:r>
      <w:r w:rsidRPr="00487F4A">
        <w:rPr>
          <w:rFonts w:ascii="Times New Roman" w:hAnsi="Times New Roman" w:cs="Times New Roman"/>
          <w:sz w:val="22"/>
          <w:szCs w:val="22"/>
        </w:rPr>
        <w:t>об организации системы внутреннего обеспечения соответствия требованиям антимонопольного законодательства в Комитете государственного регулирования цен и тарифов Чукотского автономного округа</w:t>
      </w:r>
      <w:r>
        <w:rPr>
          <w:rFonts w:ascii="Times New Roman" w:hAnsi="Times New Roman" w:cs="Times New Roman"/>
          <w:sz w:val="22"/>
          <w:szCs w:val="22"/>
        </w:rPr>
        <w:t xml:space="preserve">, утвержденному </w:t>
      </w:r>
      <w:r w:rsidRPr="006006A7">
        <w:rPr>
          <w:rFonts w:ascii="Times New Roman" w:hAnsi="Times New Roman" w:cs="Times New Roman"/>
          <w:sz w:val="22"/>
          <w:szCs w:val="22"/>
        </w:rPr>
        <w:t>приказ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6006A7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Чукотского автономного 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7524">
        <w:rPr>
          <w:rFonts w:ascii="Times New Roman" w:hAnsi="Times New Roman" w:cs="Times New Roman"/>
          <w:sz w:val="22"/>
          <w:szCs w:val="22"/>
        </w:rPr>
        <w:t>от 24 декабря 2021 г. № 51-од</w:t>
      </w:r>
    </w:p>
    <w:p w:rsidR="009A7524" w:rsidRDefault="009A7524" w:rsidP="009A7524">
      <w:pPr>
        <w:ind w:left="5387"/>
        <w:jc w:val="both"/>
      </w:pPr>
    </w:p>
    <w:p w:rsidR="009A7524" w:rsidRDefault="009A7524" w:rsidP="009A7524">
      <w:pPr>
        <w:ind w:left="567"/>
        <w:jc w:val="center"/>
        <w:rPr>
          <w:sz w:val="28"/>
          <w:szCs w:val="28"/>
        </w:rPr>
      </w:pPr>
      <w:bookmarkStart w:id="0" w:name="_GoBack"/>
      <w:bookmarkEnd w:id="0"/>
      <w:r w:rsidRPr="002F42E2">
        <w:rPr>
          <w:sz w:val="28"/>
          <w:szCs w:val="28"/>
        </w:rPr>
        <w:t>Ключевые показатели эффективности</w:t>
      </w:r>
      <w:r>
        <w:rPr>
          <w:sz w:val="28"/>
          <w:szCs w:val="28"/>
        </w:rPr>
        <w:t xml:space="preserve"> </w:t>
      </w:r>
      <w:r w:rsidRPr="002F42E2">
        <w:rPr>
          <w:sz w:val="28"/>
          <w:szCs w:val="28"/>
        </w:rPr>
        <w:t>функционирования анти</w:t>
      </w:r>
      <w:r>
        <w:rPr>
          <w:sz w:val="28"/>
          <w:szCs w:val="28"/>
        </w:rPr>
        <w:t>монопольного законодательства</w:t>
      </w:r>
    </w:p>
    <w:p w:rsidR="009A7524" w:rsidRPr="002F42E2" w:rsidRDefault="009A7524" w:rsidP="009A75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2F42E2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F42E2">
        <w:rPr>
          <w:sz w:val="28"/>
          <w:szCs w:val="28"/>
        </w:rPr>
        <w:t xml:space="preserve"> государственного регулирования цен и тарифов Чукотского автономного округа</w:t>
      </w:r>
    </w:p>
    <w:p w:rsidR="009A7524" w:rsidRPr="002F42E2" w:rsidRDefault="009A7524" w:rsidP="009A7524">
      <w:pPr>
        <w:jc w:val="center"/>
        <w:rPr>
          <w:sz w:val="28"/>
          <w:szCs w:val="28"/>
        </w:rPr>
      </w:pPr>
    </w:p>
    <w:tbl>
      <w:tblPr>
        <w:tblStyle w:val="a3"/>
        <w:tblW w:w="4893" w:type="pct"/>
        <w:tblInd w:w="392" w:type="dxa"/>
        <w:tblLook w:val="04A0" w:firstRow="1" w:lastRow="0" w:firstColumn="1" w:lastColumn="0" w:noHBand="0" w:noVBand="1"/>
      </w:tblPr>
      <w:tblGrid>
        <w:gridCol w:w="682"/>
        <w:gridCol w:w="3149"/>
        <w:gridCol w:w="5950"/>
        <w:gridCol w:w="1262"/>
        <w:gridCol w:w="3981"/>
      </w:tblGrid>
      <w:tr w:rsidR="009A7524" w:rsidRPr="002F42E2" w:rsidTr="00B45CBD">
        <w:trPr>
          <w:tblHeader/>
        </w:trPr>
        <w:tc>
          <w:tcPr>
            <w:tcW w:w="227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 xml:space="preserve">№ </w:t>
            </w:r>
            <w:proofErr w:type="gramStart"/>
            <w:r w:rsidRPr="00925470">
              <w:rPr>
                <w:sz w:val="22"/>
                <w:szCs w:val="22"/>
              </w:rPr>
              <w:t>п</w:t>
            </w:r>
            <w:proofErr w:type="gramEnd"/>
            <w:r w:rsidRPr="00925470">
              <w:rPr>
                <w:sz w:val="22"/>
                <w:szCs w:val="22"/>
              </w:rPr>
              <w:t>/п</w:t>
            </w:r>
          </w:p>
        </w:tc>
        <w:tc>
          <w:tcPr>
            <w:tcW w:w="1048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Наименование ключевого показателя эффективности</w:t>
            </w:r>
          </w:p>
        </w:tc>
        <w:tc>
          <w:tcPr>
            <w:tcW w:w="1980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20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Целевые значения</w:t>
            </w:r>
          </w:p>
        </w:tc>
        <w:tc>
          <w:tcPr>
            <w:tcW w:w="1325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Оценка показателя</w:t>
            </w:r>
          </w:p>
        </w:tc>
      </w:tr>
      <w:tr w:rsidR="009A7524" w:rsidRPr="002F42E2" w:rsidTr="00B45CBD">
        <w:trPr>
          <w:tblHeader/>
        </w:trPr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</w:t>
            </w:r>
          </w:p>
        </w:tc>
        <w:tc>
          <w:tcPr>
            <w:tcW w:w="198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4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5</w:t>
            </w:r>
          </w:p>
        </w:tc>
      </w:tr>
      <w:tr w:rsidR="009A7524" w:rsidRPr="002F42E2" w:rsidTr="00B45CBD"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1.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Коэффициент снижения количества нарушений </w:t>
            </w:r>
            <w:hyperlink r:id="rId5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антимонопольного законодательства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со стороны Комитета</w:t>
            </w:r>
          </w:p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"/>
              <w:gridCol w:w="750"/>
              <w:gridCol w:w="1268"/>
            </w:tblGrid>
            <w:tr w:rsidR="009A7524" w:rsidRPr="00925470" w:rsidTr="00B45CBD">
              <w:tc>
                <w:tcPr>
                  <w:tcW w:w="680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КСН=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</w:t>
                  </w:r>
                  <w:r w:rsidRPr="00925470">
                    <w:rPr>
                      <w:sz w:val="22"/>
                      <w:szCs w:val="22"/>
                      <w:vertAlign w:val="subscript"/>
                    </w:rPr>
                    <w:t>год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680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КСН – коэффициент снижения количества нарушений антимонопольного законодательства со стороны Комитета по сравнению с предыдущим годом;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noProof/>
                <w:sz w:val="22"/>
                <w:szCs w:val="22"/>
              </w:rPr>
              <w:t>КН</w:t>
            </w:r>
            <w:r w:rsidRPr="00925470">
              <w:rPr>
                <w:rFonts w:eastAsiaTheme="minorHAnsi"/>
                <w:noProof/>
                <w:sz w:val="22"/>
                <w:szCs w:val="22"/>
                <w:vertAlign w:val="subscript"/>
              </w:rPr>
              <w:t>год</w:t>
            </w: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нарушений антимонопольного законодательства со стороны Комитета в предыдущем  году;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нарушений антимонопольного законодательства со стороны Комитета в отчетном периоде</w:t>
            </w: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0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понимания эффективности функционирования антимонопольного комплаенса в Комитете и о соответствии мероприятий антимонопольного комплаенса Комитета направлениям совершенствования государственной политики по развитию конкуренции, установленных </w:t>
            </w:r>
            <w:hyperlink r:id="rId6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Национальным планом</w:t>
              </w:r>
            </w:hyperlink>
          </w:p>
        </w:tc>
      </w:tr>
      <w:tr w:rsidR="009A7524" w:rsidRPr="002F42E2" w:rsidTr="00B45CBD"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2.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Доля проектов нормативных правовых актов Комитета, в которых выявлены риски нарушения антимонопольного законодательства</w:t>
            </w:r>
          </w:p>
        </w:tc>
        <w:tc>
          <w:tcPr>
            <w:tcW w:w="1980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709"/>
              <w:gridCol w:w="1054"/>
            </w:tblGrid>
            <w:tr w:rsidR="009A7524" w:rsidRPr="00925470" w:rsidTr="00B45CBD">
              <w:tc>
                <w:tcPr>
                  <w:tcW w:w="806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ind w:left="-113" w:right="-57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Дпнпа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Кпнпа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806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054" w:type="dxa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проектов нормативных правовых актов Комитета, в которых выявлены риски нарушения антимонопольного законодательства;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проектов нормативных правовых актов Комитета, в которых Комитетом выявлены риски нарушения антимонопольного законодательства (в отчетном периоде);</w:t>
            </w:r>
          </w:p>
          <w:p w:rsidR="009A7524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Обеспечение понимания эффективности мероприятий антимонопольного комплаенса в части анализа проектов нормативных правовых актов Комитета</w:t>
            </w:r>
          </w:p>
        </w:tc>
      </w:tr>
      <w:tr w:rsidR="009A7524" w:rsidRPr="002F42E2" w:rsidTr="00B45CBD">
        <w:tc>
          <w:tcPr>
            <w:tcW w:w="22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48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Доля нормативных правовых актов Комитета, в которых выявлены риски нарушения антимонопольного законодательства</w:t>
            </w:r>
          </w:p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37"/>
              <w:gridCol w:w="1268"/>
            </w:tblGrid>
            <w:tr w:rsidR="009A7524" w:rsidRPr="00925470" w:rsidTr="00B45CBD">
              <w:tc>
                <w:tcPr>
                  <w:tcW w:w="680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Днпа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Кнпа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680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КНоп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нормативных правовых актов Комитета, в которых выявлены риски нарушения антимонопольного законодательства;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Кпнпа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Комитетом выявлены риски нарушения антимонопольного законодательства (в отчетном периоде);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КНоп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4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0</w:t>
            </w:r>
          </w:p>
        </w:tc>
        <w:tc>
          <w:tcPr>
            <w:tcW w:w="1325" w:type="pct"/>
          </w:tcPr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Обеспечение понимания эффективности мероприятий антимонопольного комплаенса в части анализа нормативных правовых актов Комитета</w:t>
            </w:r>
          </w:p>
        </w:tc>
      </w:tr>
    </w:tbl>
    <w:p w:rsidR="009A7524" w:rsidRDefault="009A7524" w:rsidP="009A7524"/>
    <w:p w:rsidR="009A7524" w:rsidRDefault="009A7524" w:rsidP="009A7524">
      <w:pPr>
        <w:ind w:left="567"/>
        <w:jc w:val="center"/>
        <w:rPr>
          <w:sz w:val="28"/>
          <w:szCs w:val="28"/>
        </w:rPr>
      </w:pPr>
      <w:r w:rsidRPr="002F42E2">
        <w:rPr>
          <w:sz w:val="28"/>
          <w:szCs w:val="28"/>
        </w:rPr>
        <w:t>Ключевые показатели эффективности</w:t>
      </w:r>
      <w:r>
        <w:rPr>
          <w:sz w:val="28"/>
          <w:szCs w:val="28"/>
        </w:rPr>
        <w:t xml:space="preserve"> </w:t>
      </w:r>
      <w:r w:rsidRPr="002F42E2">
        <w:rPr>
          <w:sz w:val="28"/>
          <w:szCs w:val="28"/>
        </w:rPr>
        <w:t>функционирования анти</w:t>
      </w:r>
      <w:r>
        <w:rPr>
          <w:sz w:val="28"/>
          <w:szCs w:val="28"/>
        </w:rPr>
        <w:t>монопольного законодательства</w:t>
      </w:r>
    </w:p>
    <w:p w:rsidR="009A7524" w:rsidRDefault="009A7524" w:rsidP="009A752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</w:t>
      </w:r>
      <w:r w:rsidRPr="00F65AA6">
        <w:rPr>
          <w:sz w:val="28"/>
          <w:szCs w:val="28"/>
        </w:rPr>
        <w:t>тветственны</w:t>
      </w:r>
      <w:r>
        <w:rPr>
          <w:sz w:val="28"/>
          <w:szCs w:val="28"/>
        </w:rPr>
        <w:t>х</w:t>
      </w:r>
      <w:proofErr w:type="gramEnd"/>
      <w:r w:rsidRPr="00F65AA6">
        <w:rPr>
          <w:sz w:val="28"/>
          <w:szCs w:val="28"/>
        </w:rPr>
        <w:t xml:space="preserve"> за организацию и функционирование антимонопольного комплаенса</w:t>
      </w:r>
    </w:p>
    <w:p w:rsidR="009A7524" w:rsidRPr="00925470" w:rsidRDefault="009A7524" w:rsidP="009A7524">
      <w:pPr>
        <w:ind w:left="567"/>
        <w:jc w:val="center"/>
        <w:rPr>
          <w:sz w:val="16"/>
          <w:szCs w:val="16"/>
        </w:rPr>
      </w:pPr>
    </w:p>
    <w:tbl>
      <w:tblPr>
        <w:tblStyle w:val="a3"/>
        <w:tblW w:w="4893" w:type="pct"/>
        <w:tblInd w:w="392" w:type="dxa"/>
        <w:tblLook w:val="04A0" w:firstRow="1" w:lastRow="0" w:firstColumn="1" w:lastColumn="0" w:noHBand="0" w:noVBand="1"/>
      </w:tblPr>
      <w:tblGrid>
        <w:gridCol w:w="680"/>
        <w:gridCol w:w="3147"/>
        <w:gridCol w:w="5957"/>
        <w:gridCol w:w="1274"/>
        <w:gridCol w:w="3966"/>
      </w:tblGrid>
      <w:tr w:rsidR="009A7524" w:rsidRPr="002F42E2" w:rsidTr="00B45CBD">
        <w:trPr>
          <w:tblHeader/>
        </w:trPr>
        <w:tc>
          <w:tcPr>
            <w:tcW w:w="226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 xml:space="preserve">№ </w:t>
            </w:r>
            <w:proofErr w:type="gramStart"/>
            <w:r w:rsidRPr="00925470">
              <w:rPr>
                <w:sz w:val="22"/>
                <w:szCs w:val="22"/>
              </w:rPr>
              <w:t>п</w:t>
            </w:r>
            <w:proofErr w:type="gramEnd"/>
            <w:r w:rsidRPr="00925470">
              <w:rPr>
                <w:sz w:val="22"/>
                <w:szCs w:val="22"/>
              </w:rPr>
              <w:t>/п</w:t>
            </w:r>
          </w:p>
        </w:tc>
        <w:tc>
          <w:tcPr>
            <w:tcW w:w="1047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Наименование ключевого показателя эффективности</w:t>
            </w:r>
          </w:p>
        </w:tc>
        <w:tc>
          <w:tcPr>
            <w:tcW w:w="1982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424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Целевые значения</w:t>
            </w:r>
          </w:p>
        </w:tc>
        <w:tc>
          <w:tcPr>
            <w:tcW w:w="1320" w:type="pct"/>
            <w:vAlign w:val="center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Оценка показателя</w:t>
            </w:r>
          </w:p>
        </w:tc>
      </w:tr>
      <w:tr w:rsidR="009A7524" w:rsidRPr="002F42E2" w:rsidTr="00B45CBD">
        <w:trPr>
          <w:tblHeader/>
        </w:trPr>
        <w:tc>
          <w:tcPr>
            <w:tcW w:w="226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</w:t>
            </w:r>
          </w:p>
        </w:tc>
        <w:tc>
          <w:tcPr>
            <w:tcW w:w="1047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2</w:t>
            </w:r>
          </w:p>
        </w:tc>
        <w:tc>
          <w:tcPr>
            <w:tcW w:w="1982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4</w:t>
            </w:r>
          </w:p>
        </w:tc>
        <w:tc>
          <w:tcPr>
            <w:tcW w:w="1320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5</w:t>
            </w:r>
          </w:p>
        </w:tc>
      </w:tr>
      <w:tr w:rsidR="009A7524" w:rsidRPr="002F42E2" w:rsidTr="00B45CBD">
        <w:tc>
          <w:tcPr>
            <w:tcW w:w="226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t>1.</w:t>
            </w:r>
          </w:p>
        </w:tc>
        <w:tc>
          <w:tcPr>
            <w:tcW w:w="1047" w:type="pct"/>
          </w:tcPr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Доля сотрудников Комитета, в отношении которых были проведены обучающие мероприятия по </w:t>
            </w:r>
            <w:hyperlink r:id="rId7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антимонопольному законодательству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и антимонопольному комплаенсу</w:t>
            </w:r>
          </w:p>
        </w:tc>
        <w:tc>
          <w:tcPr>
            <w:tcW w:w="1982" w:type="pct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788"/>
              <w:gridCol w:w="1268"/>
            </w:tblGrid>
            <w:tr w:rsidR="009A7524" w:rsidRPr="00925470" w:rsidTr="00B45CBD">
              <w:tc>
                <w:tcPr>
                  <w:tcW w:w="556" w:type="dxa"/>
                  <w:vMerge w:val="restart"/>
                  <w:vAlign w:val="center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ДСо</w:t>
                  </w:r>
                  <w:proofErr w:type="spellEnd"/>
                  <w:r w:rsidRPr="00925470">
                    <w:rPr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788" w:type="dxa"/>
                  <w:tcBorders>
                    <w:bottom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КСо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A7524" w:rsidRPr="00925470" w:rsidTr="00B45CBD">
              <w:tc>
                <w:tcPr>
                  <w:tcW w:w="556" w:type="dxa"/>
                  <w:vMerge/>
                </w:tcPr>
                <w:p w:rsidR="009A7524" w:rsidRPr="00925470" w:rsidRDefault="009A7524" w:rsidP="00B45CB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9A7524" w:rsidRPr="00925470" w:rsidRDefault="009A7524" w:rsidP="00B45CBD">
                  <w:pPr>
                    <w:ind w:left="-113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25470">
                    <w:rPr>
                      <w:sz w:val="22"/>
                      <w:szCs w:val="22"/>
                    </w:rPr>
                    <w:t>КСобщ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9A7524" w:rsidRPr="00925470" w:rsidRDefault="009A7524" w:rsidP="00B45CBD">
                  <w:pPr>
                    <w:ind w:left="-113"/>
                    <w:jc w:val="both"/>
                    <w:rPr>
                      <w:sz w:val="22"/>
                      <w:szCs w:val="22"/>
                    </w:rPr>
                  </w:pPr>
                  <w:r w:rsidRPr="00925470">
                    <w:rPr>
                      <w:sz w:val="22"/>
                      <w:szCs w:val="22"/>
                    </w:rPr>
                    <w:t>, где:</w:t>
                  </w:r>
                </w:p>
              </w:tc>
            </w:tr>
          </w:tbl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ДСо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доля сотрудников Комитета,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КСо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сотрудников Комитета,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9A7524" w:rsidRPr="00925470" w:rsidRDefault="009A7524" w:rsidP="00B45C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>КСобщ</w:t>
            </w:r>
            <w:proofErr w:type="spellEnd"/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– общее количество сотрудников Комитета, чьи должностные обязанности предусматривают выполнение </w:t>
            </w:r>
            <w:r w:rsidRPr="0092547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функций, связанных с рисками нарушения антимонопольного законодательства</w:t>
            </w:r>
          </w:p>
        </w:tc>
        <w:tc>
          <w:tcPr>
            <w:tcW w:w="424" w:type="pct"/>
          </w:tcPr>
          <w:p w:rsidR="009A7524" w:rsidRPr="00925470" w:rsidRDefault="009A7524" w:rsidP="00B45CBD">
            <w:pPr>
              <w:jc w:val="center"/>
              <w:rPr>
                <w:sz w:val="22"/>
                <w:szCs w:val="22"/>
              </w:rPr>
            </w:pPr>
            <w:r w:rsidRPr="0092547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20" w:type="pct"/>
          </w:tcPr>
          <w:p w:rsidR="009A7524" w:rsidRPr="00925470" w:rsidRDefault="009A7524" w:rsidP="00B45CBD">
            <w:pPr>
              <w:jc w:val="both"/>
              <w:rPr>
                <w:sz w:val="22"/>
                <w:szCs w:val="22"/>
              </w:rPr>
            </w:pPr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Профилактика нарушений требований антимонопольного законодательства в деятельности Комитета; возможность достижения целей Национального плана, предусмотренных </w:t>
            </w:r>
            <w:hyperlink r:id="rId8" w:history="1">
              <w:r w:rsidRPr="00925470">
                <w:rPr>
                  <w:rFonts w:eastAsiaTheme="minorHAnsi"/>
                  <w:sz w:val="22"/>
                  <w:szCs w:val="22"/>
                  <w:lang w:eastAsia="en-US"/>
                </w:rPr>
                <w:t>подпунктом «б» пункта 1</w:t>
              </w:r>
            </w:hyperlink>
            <w:r w:rsidRPr="00925470">
              <w:rPr>
                <w:rFonts w:eastAsiaTheme="minorHAnsi"/>
                <w:sz w:val="22"/>
                <w:szCs w:val="22"/>
                <w:lang w:eastAsia="en-US"/>
              </w:rPr>
              <w:t xml:space="preserve"> Национального плана.</w:t>
            </w:r>
          </w:p>
        </w:tc>
      </w:tr>
    </w:tbl>
    <w:p w:rsidR="009A7524" w:rsidRDefault="009A7524" w:rsidP="009A7524">
      <w:pPr>
        <w:jc w:val="center"/>
        <w:rPr>
          <w:sz w:val="28"/>
          <w:szCs w:val="28"/>
        </w:rPr>
      </w:pPr>
    </w:p>
    <w:p w:rsidR="00144D77" w:rsidRDefault="00144D77"/>
    <w:sectPr w:rsidR="00144D77" w:rsidSect="00487F4A">
      <w:pgSz w:w="16838" w:h="11906" w:orient="landscape" w:code="9"/>
      <w:pgMar w:top="709" w:right="1134" w:bottom="1701" w:left="567" w:header="567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4"/>
    <w:rsid w:val="00144D77"/>
    <w:rsid w:val="009A7524"/>
    <w:rsid w:val="00E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524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7524"/>
    <w:pPr>
      <w:ind w:firstLine="851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9A752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524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7524"/>
    <w:pPr>
      <w:ind w:firstLine="851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9A752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9482.100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739482.1000" TargetMode="External"/><Relationship Id="rId5" Type="http://schemas.openxmlformats.org/officeDocument/2006/relationships/hyperlink" Target="garantF1://12048517.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2022-02-02T06:00:00Z</dcterms:created>
  <dcterms:modified xsi:type="dcterms:W3CDTF">2022-02-02T06:02:00Z</dcterms:modified>
</cp:coreProperties>
</file>