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О ходе реализации регионального проекта</w:t>
      </w:r>
    </w:p>
    <w:p>
      <w:pPr>
        <w:spacing w:after="0" w:line="276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«Финансовая поддержка семей при рождении детей»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                                                                                                    </w:t>
      </w:r>
    </w:p>
    <w:p>
      <w:pPr>
        <w:spacing w:after="0" w:line="240" w:lineRule="auto"/>
        <w:ind w:firstLine="708"/>
        <w:contextualSpacing/>
        <w:jc w:val="center"/>
        <w:rPr>
          <w:rFonts w:hint="default" w:ascii="Times New Roman" w:hAnsi="Times New Roman" w:cs="Times New Roman"/>
          <w:b/>
          <w:sz w:val="26"/>
          <w:szCs w:val="26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sz w:val="26"/>
          <w:szCs w:val="26"/>
          <w:highlight w:val="none"/>
        </w:rPr>
        <w:t>13 декабря 2018 года утверждён Паспорт регионального проекта «Финансовая поддержка семей при рождении детей» (далее – региональный проект). Основные демогр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highlight w:val="none"/>
        </w:rPr>
        <w:t>афические показатели, закреплённые в региональном проекте: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highlight w:val="none"/>
        </w:rPr>
        <w:t>суммарный коэффициент рождаемости. План на 2019 год – 2,11, факт базовый (2017 год) – 2,079. 2018 – 2,025 (предварительно).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highlight w:val="none"/>
        </w:rPr>
        <w:t>возрастные коэффициенты рождаемости в возрастных группах 25-29 лет и 30-34 года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 xml:space="preserve"> (число родившихся на 1000 женщин соответствующего возраста). План 2019 года – 124,6 и 7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>1,8 соответственно. Факт за базовый 2017 год – 135,16 и 78,9 соответственно.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Общий объем финансирования по региональному проекту составляет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395,9 млн. руб., в том числе 84,3 млн. руб. за счет средств федерального бюджета, 9,9 млн. руб. из внебюджетных фондов, 301,7 млн. руб. за счет средств консолидированного бюджета Чукотского автономного округа, в том числе: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Ежемесячная выплата в связи с рождением (усыновлением) первого ребёнка по состоянию на 2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 w:eastAsia="zh-CN" w:bidi="ar"/>
        </w:rPr>
        <w:t>6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.07.2019 предоставлена на общую сумму 27,60 млн. рублей 192 получателям, в том числе 60 получателям назначена в 2019 году (исполнение – 82%).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 xml:space="preserve">По состоянию на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 w:eastAsia="zh-CN" w:bidi="ar"/>
        </w:rPr>
        <w:t>26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.07.2019 в окружном бюджете предусмотрены средства по мероприятиям, включённым в региональный проект, в размере 56,7 млн. рублей, в том числе: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региональный материнский капитал в размере 137,2 тыс. рублей предоставлен 73 получателям на общую сумму 9,6 млн. рублей (исполнение – 5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 w:eastAsia="zh-CN" w:bidi="ar"/>
        </w:rPr>
        <w:t>2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 xml:space="preserve"> %). План на 2019 год – 140 получателей;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заключение соц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 w:eastAsia="zh-CN" w:bidi="ar"/>
        </w:rPr>
        <w:t>иальных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 xml:space="preserve"> контрактов − 23 заключено на общую сумму 1,15 млн. рублей (исполнение – 51 %). План на 2019 год – 45 получателей;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>выплата на уплату первоначального взноса при получении ипотечного кредита с дальнейшей компенсацией уплаченных процентов – до 1,5 млн. рублей единовременно и 10 тыс. рублей ежемесячно (компенсация процентов). План – 6 получателей (1 единовременная выплата при получении ипотечного кредита, 5 получателям – ежемесячная компенсация процентов по ранее полученным кредитам). Предоставляется 5 получателям ежемесячная выплата. С потенциальными получателями единовременной вып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латы проводится работа;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 xml:space="preserve">выплата многодетным семьям на приобретение жилого помещения предоставлена по сертификату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 w:eastAsia="zh-CN" w:bidi="ar"/>
        </w:rPr>
        <w:t>5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 xml:space="preserve"> семьям, имеющим четыре и более детей,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 w:eastAsia="zh-CN" w:bidi="ar"/>
        </w:rPr>
        <w:t>2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 получателям сертификат выдан, осуществляют подбор жилья. План - 6 получателей выплаты. В списке (очереди) на получение сертификата состоят ещё 5 семей.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Правительством Ч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>укотского автономного округа разработаны нормативные правовые акты в соответствии с перечнем поручений Президента Российской Федерации от 23 о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ктября 2018 года № Пр-1918ГС.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Приняты: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Закон Чукотского автономного округа от 31.01.2019 № 1-ОЗ «О ежемесячной денежной выплате, назначаемой при рождении третьего ребёнка или последующих детей». За истекший период 2019 года выплата в размере 22 730 рублей предоставлена 29 получателям (163 выплаты) на общую сумму 3,7 млн. рублей (исполнение – 21 %). План – 17,9 млн. рублей (в том числе средства федерального бюджета – 16,4 млн. рублей и средства окружного бюджета – 1,5 млн. рублей на условиях софинансирования (92 %/8 %));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Закон Чукотского автономного округа от 26.02.2019 № 12-ОЗ «О единовременной выплате при рождении первого ребёнка». На текущую дату предоставлена выплата в размере 45 460 рублей 28 получателю, на общую сумму 1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272,88 тыс. рублей (исполнение – 7 %). План – 18,8 млн. рублей (в том числе средства федерального бюджета – 18,4 млн. рублей и средства окружного бюджета – 375,7 тыс. рублей на условиях софинансирования (98 %/2 %));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Закон Чукотского автономного округа от 26.02.2019 № 13-ОЗ «О внесении изменений в Закон Чукотского автономного округа «О региональном материнском (семейном) капитале для семей, имеющих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трёх и более детей, в Чукотском автономном округе» (в части установления РМК при рождении второго ребенка). РМК не предоставлялся. На основании письма Мин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eastAsia="zh-CN" w:bidi="ar"/>
        </w:rPr>
        <w:t xml:space="preserve">труда России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о приведении нормативного правового акта в соответствие с действующим законодательством, с учётом разграничения полномочий Российской Федерации и субъекта Российской Федерации, внесены изменения в окружной закон в части исключения таких направлений, как ежемесячная выплата в связи с рождением второго ребёнка и накопительная часть пенсии матери.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sz w:val="26"/>
          <w:szCs w:val="26"/>
          <w:cs w:val="0"/>
          <w:lang w:val="en-US" w:eastAsia="zh-CN" w:bidi="ar"/>
        </w:rPr>
      </w:pPr>
      <w:r>
        <w:rPr>
          <w:rFonts w:hint="default" w:ascii="Times New Roman" w:hAnsi="Times New Roman" w:cs="Times New Roman"/>
          <w:sz w:val="26"/>
          <w:szCs w:val="26"/>
          <w:lang w:val="ru-RU" w:eastAsia="zh-CN" w:bidi="ar"/>
        </w:rPr>
        <w:t>19.07.2019 з</w:t>
      </w:r>
      <w:r>
        <w:rPr>
          <w:rFonts w:hint="default" w:ascii="Times New Roman" w:hAnsi="Times New Roman" w:cs="Times New Roman"/>
          <w:sz w:val="26"/>
          <w:szCs w:val="26"/>
          <w:cs w:val="0"/>
          <w:lang w:val="ru" w:eastAsia="zh-CN" w:bidi="ar"/>
        </w:rPr>
        <w:t>аключены</w:t>
      </w:r>
      <w:r>
        <w:rPr>
          <w:rFonts w:hint="default" w:ascii="Times New Roman" w:hAnsi="Times New Roman" w:cs="Times New Roman"/>
          <w:sz w:val="26"/>
          <w:szCs w:val="26"/>
          <w:cs w:val="0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cs w:val="0"/>
          <w:lang w:val="ru-RU" w:eastAsia="zh-CN" w:bidi="ar"/>
        </w:rPr>
        <w:t>С</w:t>
      </w:r>
      <w:r>
        <w:rPr>
          <w:rFonts w:hint="default" w:ascii="Times New Roman" w:hAnsi="Times New Roman" w:cs="Times New Roman"/>
          <w:sz w:val="26"/>
          <w:szCs w:val="26"/>
          <w:cs w:val="0"/>
          <w:lang w:val="en-US" w:eastAsia="zh-CN" w:bidi="ar"/>
        </w:rPr>
        <w:t xml:space="preserve">оглашения </w:t>
      </w:r>
      <w:r>
        <w:rPr>
          <w:rFonts w:hint="default" w:ascii="Times New Roman" w:hAnsi="Times New Roman" w:cs="Times New Roman"/>
          <w:sz w:val="26"/>
          <w:szCs w:val="26"/>
          <w:cs w:val="0"/>
          <w:lang w:val="ru" w:eastAsia="zh-CN" w:bidi="ru-RU"/>
        </w:rPr>
        <w:t>о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> 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предоставлении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> 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субсидий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> 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из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федерального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> 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бюджета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> 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бюджету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Чукотского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автономного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округа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для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осуществления</w:t>
      </w:r>
      <w:r>
        <w:rPr>
          <w:rFonts w:hint="default" w:ascii="Times New Roman" w:hAnsi="Times New Roman" w:cs="Times New Roman"/>
          <w:sz w:val="26"/>
          <w:szCs w:val="26"/>
          <w:cs w:val="0"/>
          <w:lang w:val="en-US" w:eastAsia="zh-CN" w:bidi="ar"/>
        </w:rPr>
        <w:t>: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cs="Times New Roman"/>
          <w:sz w:val="26"/>
          <w:szCs w:val="26"/>
          <w:cs w:val="0"/>
          <w:lang w:val="en-US" w:eastAsia="zh-CN" w:bidi="ar"/>
        </w:rPr>
        <w:t>1)</w:t>
      </w:r>
      <w:r>
        <w:rPr>
          <w:rFonts w:hint="default" w:ascii="Times New Roman" w:hAnsi="Times New Roman" w:cs="Times New Roman"/>
          <w:sz w:val="26"/>
          <w:szCs w:val="26"/>
          <w:cs w:val="0"/>
          <w:lang w:val="ru-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единовременной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выплаты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 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при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рождении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первого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реб</w:t>
      </w:r>
      <w:r>
        <w:rPr>
          <w:rFonts w:hint="default" w:ascii="Times New Roman" w:hAnsi="Times New Roman" w:cs="Times New Roman"/>
          <w:sz w:val="26"/>
          <w:szCs w:val="26"/>
          <w:cs w:val="0"/>
          <w:lang w:val="ru" w:eastAsia="zh-CN" w:bidi="ru-RU"/>
        </w:rPr>
        <w:t>ё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нка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,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а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также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 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предоставления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 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регионального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 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материнского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(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семейного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)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капитала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при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 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рождении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второго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> 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реб</w:t>
      </w:r>
      <w:r>
        <w:rPr>
          <w:rFonts w:hint="default" w:ascii="Times New Roman" w:hAnsi="Times New Roman" w:cs="Times New Roman"/>
          <w:sz w:val="26"/>
          <w:szCs w:val="26"/>
          <w:cs w:val="0"/>
          <w:lang w:val="ru" w:eastAsia="zh-CN" w:bidi="ru-RU"/>
        </w:rPr>
        <w:t>ё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нка</w:t>
      </w:r>
      <w:r>
        <w:rPr>
          <w:rFonts w:hint="default" w:ascii="Times New Roman" w:hAnsi="Times New Roman" w:cs="Times New Roman"/>
          <w:sz w:val="26"/>
          <w:szCs w:val="26"/>
          <w:lang w:val="ru-RU" w:eastAsia="zh-CN" w:bidi="ar"/>
        </w:rPr>
        <w:t>;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cs="Times New Roman"/>
          <w:sz w:val="26"/>
          <w:szCs w:val="26"/>
          <w:lang w:val="ru-RU" w:eastAsia="zh-CN" w:bidi="ar"/>
        </w:rPr>
        <w:t xml:space="preserve">2)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ежемесячной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денежной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выплаты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,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назначаемой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при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рождении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третьего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ребёнка</w:t>
      </w:r>
      <w:r>
        <w:rPr>
          <w:rFonts w:hint="default" w:ascii="Times New Roman" w:hAnsi="Times New Roman" w:cs="Times New Roman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sz w:val="26"/>
          <w:szCs w:val="26"/>
          <w:cs/>
          <w:lang w:val="ru" w:eastAsia="zh-CN" w:bidi="ru-RU"/>
        </w:rPr>
        <w:t>и</w:t>
      </w:r>
      <w:r>
        <w:rPr>
          <w:rFonts w:hint="cs" w:ascii="Times New Roman" w:hAnsi="Times New Roman" w:cs="Times New Roman"/>
          <w:b w:val="0"/>
          <w:bCs w:val="0"/>
          <w:sz w:val="26"/>
          <w:szCs w:val="26"/>
          <w:cs/>
          <w:lang w:val="ru" w:eastAsia="zh-CN" w:bidi="ru-RU"/>
        </w:rPr>
        <w:t>ли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b w:val="0"/>
          <w:bCs w:val="0"/>
          <w:sz w:val="26"/>
          <w:szCs w:val="26"/>
          <w:cs/>
          <w:lang w:val="ru" w:eastAsia="zh-CN" w:bidi="ru-RU"/>
        </w:rPr>
        <w:t>последующих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 xml:space="preserve"> </w:t>
      </w:r>
      <w:r>
        <w:rPr>
          <w:rFonts w:hint="cs" w:ascii="Times New Roman" w:hAnsi="Times New Roman" w:cs="Times New Roman"/>
          <w:b w:val="0"/>
          <w:bCs w:val="0"/>
          <w:sz w:val="26"/>
          <w:szCs w:val="26"/>
          <w:cs/>
          <w:lang w:val="ru" w:eastAsia="zh-CN" w:bidi="ru-RU"/>
        </w:rPr>
        <w:t>детей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cs w:val="0"/>
          <w:lang w:val="en-US" w:eastAsia="zh-CN" w:bidi="ar"/>
        </w:rPr>
        <w:t>.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eastAsia="Calibri" w:cs="Times New Roman"/>
          <w:b w:val="0"/>
          <w:bCs w:val="0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" w:eastAsia="zh-CN" w:bidi="ar"/>
        </w:rPr>
        <w:t>На 2019 год запланировано 12 полных процедур экстракорпорального оплодотворе</w:t>
      </w:r>
      <w:r>
        <w:rPr>
          <w:rFonts w:ascii="Times New Roman" w:hAnsi="Times New Roman" w:eastAsia="Calibri" w:cs="Times New Roman"/>
          <w:b w:val="0"/>
          <w:bCs w:val="0"/>
          <w:sz w:val="26"/>
          <w:szCs w:val="26"/>
          <w:highlight w:val="none"/>
          <w:lang w:eastAsia="zh-CN" w:bidi="ar"/>
        </w:rPr>
        <w:t>ния. Всего до 2024 года - 81 процедура. За истекший период 2019 года выдано 21 направление (175,0% от плана), из них 16 - для проведения полного цикла ЭКО и 5 - для проведения процедуры криопереноса.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eastAsia="Calibri" w:cs="Times New Roman"/>
          <w:sz w:val="26"/>
          <w:szCs w:val="26"/>
          <w:highlight w:val="none"/>
          <w:lang w:eastAsia="zh-CN" w:bidi="ar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</w:p>
    <w:sectPr>
      <w:pgSz w:w="11906" w:h="16838"/>
      <w:pgMar w:top="709" w:right="850" w:bottom="729" w:left="993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drawingGridHorizontalSpacing w:val="11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DCC"/>
    <w:rsid w:val="00027991"/>
    <w:rsid w:val="000329FD"/>
    <w:rsid w:val="00034D32"/>
    <w:rsid w:val="00050F08"/>
    <w:rsid w:val="00054C30"/>
    <w:rsid w:val="00067531"/>
    <w:rsid w:val="00072699"/>
    <w:rsid w:val="000A66F6"/>
    <w:rsid w:val="000B0FED"/>
    <w:rsid w:val="000B59E0"/>
    <w:rsid w:val="000C3EF3"/>
    <w:rsid w:val="000C5A50"/>
    <w:rsid w:val="000C6444"/>
    <w:rsid w:val="000D11D2"/>
    <w:rsid w:val="000D531D"/>
    <w:rsid w:val="000D6690"/>
    <w:rsid w:val="000E5AF8"/>
    <w:rsid w:val="000F11A6"/>
    <w:rsid w:val="000F223E"/>
    <w:rsid w:val="00113439"/>
    <w:rsid w:val="001432C2"/>
    <w:rsid w:val="00156C05"/>
    <w:rsid w:val="00172A27"/>
    <w:rsid w:val="00173533"/>
    <w:rsid w:val="00187C78"/>
    <w:rsid w:val="00193D17"/>
    <w:rsid w:val="001A4122"/>
    <w:rsid w:val="001A6A11"/>
    <w:rsid w:val="001B3157"/>
    <w:rsid w:val="001B5BAB"/>
    <w:rsid w:val="001C0BCA"/>
    <w:rsid w:val="001F7215"/>
    <w:rsid w:val="002111D9"/>
    <w:rsid w:val="00216197"/>
    <w:rsid w:val="002305ED"/>
    <w:rsid w:val="00230FA0"/>
    <w:rsid w:val="00256750"/>
    <w:rsid w:val="002A786B"/>
    <w:rsid w:val="002C7247"/>
    <w:rsid w:val="002D0102"/>
    <w:rsid w:val="002D48F4"/>
    <w:rsid w:val="002D7D46"/>
    <w:rsid w:val="002E009B"/>
    <w:rsid w:val="002E2397"/>
    <w:rsid w:val="002E5FD8"/>
    <w:rsid w:val="0031097E"/>
    <w:rsid w:val="00313FE2"/>
    <w:rsid w:val="00314902"/>
    <w:rsid w:val="00317377"/>
    <w:rsid w:val="00321AF9"/>
    <w:rsid w:val="003263CB"/>
    <w:rsid w:val="00333998"/>
    <w:rsid w:val="00335FDD"/>
    <w:rsid w:val="00345132"/>
    <w:rsid w:val="00355BF1"/>
    <w:rsid w:val="0035780C"/>
    <w:rsid w:val="00363BCB"/>
    <w:rsid w:val="00363E16"/>
    <w:rsid w:val="003656A1"/>
    <w:rsid w:val="003A6465"/>
    <w:rsid w:val="003A685A"/>
    <w:rsid w:val="003B0484"/>
    <w:rsid w:val="003B31EA"/>
    <w:rsid w:val="003C4365"/>
    <w:rsid w:val="003D4092"/>
    <w:rsid w:val="003E5C49"/>
    <w:rsid w:val="00414897"/>
    <w:rsid w:val="00442304"/>
    <w:rsid w:val="00470A8C"/>
    <w:rsid w:val="00472EB7"/>
    <w:rsid w:val="0048034B"/>
    <w:rsid w:val="0049262C"/>
    <w:rsid w:val="0049455A"/>
    <w:rsid w:val="004B7A1F"/>
    <w:rsid w:val="004D2D5A"/>
    <w:rsid w:val="004E55FF"/>
    <w:rsid w:val="004E6E29"/>
    <w:rsid w:val="0052081A"/>
    <w:rsid w:val="005222E1"/>
    <w:rsid w:val="00524CA0"/>
    <w:rsid w:val="00540FDF"/>
    <w:rsid w:val="00575071"/>
    <w:rsid w:val="005B03C2"/>
    <w:rsid w:val="005E0605"/>
    <w:rsid w:val="005E2A76"/>
    <w:rsid w:val="005E54CE"/>
    <w:rsid w:val="006052AA"/>
    <w:rsid w:val="0061025D"/>
    <w:rsid w:val="0061055D"/>
    <w:rsid w:val="00616EA4"/>
    <w:rsid w:val="00617BAF"/>
    <w:rsid w:val="006326AA"/>
    <w:rsid w:val="0065516C"/>
    <w:rsid w:val="00661BB6"/>
    <w:rsid w:val="00672BA5"/>
    <w:rsid w:val="0067680E"/>
    <w:rsid w:val="00676DBC"/>
    <w:rsid w:val="00680FC3"/>
    <w:rsid w:val="00686558"/>
    <w:rsid w:val="00692E24"/>
    <w:rsid w:val="006A3E24"/>
    <w:rsid w:val="006E1516"/>
    <w:rsid w:val="006E37DF"/>
    <w:rsid w:val="006E46EA"/>
    <w:rsid w:val="006F5495"/>
    <w:rsid w:val="00706F65"/>
    <w:rsid w:val="00707817"/>
    <w:rsid w:val="007117A8"/>
    <w:rsid w:val="00735180"/>
    <w:rsid w:val="007425D3"/>
    <w:rsid w:val="00742782"/>
    <w:rsid w:val="00744950"/>
    <w:rsid w:val="0074526D"/>
    <w:rsid w:val="007648F3"/>
    <w:rsid w:val="00781782"/>
    <w:rsid w:val="00783F4C"/>
    <w:rsid w:val="007A641F"/>
    <w:rsid w:val="007C2C3E"/>
    <w:rsid w:val="007D5274"/>
    <w:rsid w:val="007E773D"/>
    <w:rsid w:val="007F379A"/>
    <w:rsid w:val="00812E82"/>
    <w:rsid w:val="00822BC2"/>
    <w:rsid w:val="0082344E"/>
    <w:rsid w:val="00825F98"/>
    <w:rsid w:val="00834DE4"/>
    <w:rsid w:val="00861BB7"/>
    <w:rsid w:val="00882B37"/>
    <w:rsid w:val="00886CEE"/>
    <w:rsid w:val="008B0385"/>
    <w:rsid w:val="00931A9D"/>
    <w:rsid w:val="00932687"/>
    <w:rsid w:val="00932C7D"/>
    <w:rsid w:val="00935D44"/>
    <w:rsid w:val="00982848"/>
    <w:rsid w:val="0099101F"/>
    <w:rsid w:val="00994935"/>
    <w:rsid w:val="009C0F6B"/>
    <w:rsid w:val="009C2D98"/>
    <w:rsid w:val="009C4E98"/>
    <w:rsid w:val="00A0489B"/>
    <w:rsid w:val="00A71CEF"/>
    <w:rsid w:val="00A74E74"/>
    <w:rsid w:val="00A76410"/>
    <w:rsid w:val="00A826B1"/>
    <w:rsid w:val="00A838F9"/>
    <w:rsid w:val="00A9086A"/>
    <w:rsid w:val="00AC1D6F"/>
    <w:rsid w:val="00AC2137"/>
    <w:rsid w:val="00AC4E9B"/>
    <w:rsid w:val="00AF45E6"/>
    <w:rsid w:val="00AF5EC8"/>
    <w:rsid w:val="00B4397C"/>
    <w:rsid w:val="00B46085"/>
    <w:rsid w:val="00B65787"/>
    <w:rsid w:val="00B666AC"/>
    <w:rsid w:val="00B9618F"/>
    <w:rsid w:val="00BA3569"/>
    <w:rsid w:val="00BA7957"/>
    <w:rsid w:val="00BC225B"/>
    <w:rsid w:val="00BD3366"/>
    <w:rsid w:val="00BD4C3C"/>
    <w:rsid w:val="00BE225D"/>
    <w:rsid w:val="00BE24B3"/>
    <w:rsid w:val="00BF0726"/>
    <w:rsid w:val="00BF5038"/>
    <w:rsid w:val="00BF5FA6"/>
    <w:rsid w:val="00C13C7C"/>
    <w:rsid w:val="00C2074D"/>
    <w:rsid w:val="00C25522"/>
    <w:rsid w:val="00C25E25"/>
    <w:rsid w:val="00C56B92"/>
    <w:rsid w:val="00C6366B"/>
    <w:rsid w:val="00C7214F"/>
    <w:rsid w:val="00C7340D"/>
    <w:rsid w:val="00C74EAC"/>
    <w:rsid w:val="00C867C4"/>
    <w:rsid w:val="00C94C36"/>
    <w:rsid w:val="00CA5BE7"/>
    <w:rsid w:val="00CC213B"/>
    <w:rsid w:val="00CC46D6"/>
    <w:rsid w:val="00CF4452"/>
    <w:rsid w:val="00CF6A9F"/>
    <w:rsid w:val="00D00A82"/>
    <w:rsid w:val="00D03B01"/>
    <w:rsid w:val="00D068D9"/>
    <w:rsid w:val="00D53E95"/>
    <w:rsid w:val="00D6207D"/>
    <w:rsid w:val="00D75EEE"/>
    <w:rsid w:val="00D80586"/>
    <w:rsid w:val="00D845D6"/>
    <w:rsid w:val="00D87B08"/>
    <w:rsid w:val="00DA7CA7"/>
    <w:rsid w:val="00DB4AB4"/>
    <w:rsid w:val="00DC41FD"/>
    <w:rsid w:val="00DE16A5"/>
    <w:rsid w:val="00E01203"/>
    <w:rsid w:val="00E145AA"/>
    <w:rsid w:val="00E8021C"/>
    <w:rsid w:val="00E9441D"/>
    <w:rsid w:val="00EA0E81"/>
    <w:rsid w:val="00EA1A33"/>
    <w:rsid w:val="00EA25BB"/>
    <w:rsid w:val="00EA50ED"/>
    <w:rsid w:val="00ED4B7D"/>
    <w:rsid w:val="00EE2C0C"/>
    <w:rsid w:val="00EE6737"/>
    <w:rsid w:val="00F11A1E"/>
    <w:rsid w:val="00F150B7"/>
    <w:rsid w:val="00F20E51"/>
    <w:rsid w:val="00F43D56"/>
    <w:rsid w:val="00F6745B"/>
    <w:rsid w:val="00F70952"/>
    <w:rsid w:val="00F74619"/>
    <w:rsid w:val="00F75F83"/>
    <w:rsid w:val="00F774EF"/>
    <w:rsid w:val="00F81B09"/>
    <w:rsid w:val="00F838F1"/>
    <w:rsid w:val="00FA55B0"/>
    <w:rsid w:val="00FB222B"/>
    <w:rsid w:val="00FD122E"/>
    <w:rsid w:val="00FD3707"/>
    <w:rsid w:val="00FD4359"/>
    <w:rsid w:val="00FE1F8B"/>
    <w:rsid w:val="00FE7888"/>
    <w:rsid w:val="00FF390B"/>
    <w:rsid w:val="00FF6643"/>
    <w:rsid w:val="01C6780A"/>
    <w:rsid w:val="0576443D"/>
    <w:rsid w:val="07D5740E"/>
    <w:rsid w:val="084D7AA6"/>
    <w:rsid w:val="0C843FF6"/>
    <w:rsid w:val="0D124AAD"/>
    <w:rsid w:val="0D213A2E"/>
    <w:rsid w:val="0E9D73C8"/>
    <w:rsid w:val="163D63B2"/>
    <w:rsid w:val="1DD651C7"/>
    <w:rsid w:val="1E2238B4"/>
    <w:rsid w:val="2EDB65C8"/>
    <w:rsid w:val="32FA2FD8"/>
    <w:rsid w:val="4A3740E2"/>
    <w:rsid w:val="4C8842C2"/>
    <w:rsid w:val="505D3103"/>
    <w:rsid w:val="53DB2379"/>
    <w:rsid w:val="5B802CF4"/>
    <w:rsid w:val="5BAE0A58"/>
    <w:rsid w:val="5F2D55EE"/>
    <w:rsid w:val="62696E85"/>
    <w:rsid w:val="6D231F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ind w:left="720"/>
      <w:jc w:val="both"/>
      <w:outlineLvl w:val="0"/>
    </w:pPr>
    <w:rPr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endnote text"/>
    <w:basedOn w:val="1"/>
    <w:link w:val="20"/>
    <w:qFormat/>
    <w:uiPriority w:val="0"/>
    <w:pPr>
      <w:jc w:val="both"/>
    </w:pPr>
    <w:rPr>
      <w:rFonts w:ascii="Arial" w:hAnsi="Arial"/>
    </w:rPr>
  </w:style>
  <w:style w:type="paragraph" w:styleId="5">
    <w:name w:val="footnote text"/>
    <w:basedOn w:val="1"/>
    <w:link w:val="1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Body Text Indent 2"/>
    <w:basedOn w:val="1"/>
    <w:qFormat/>
    <w:uiPriority w:val="0"/>
    <w:pPr>
      <w:ind w:firstLine="567"/>
      <w:jc w:val="both"/>
    </w:pPr>
  </w:style>
  <w:style w:type="character" w:styleId="9">
    <w:name w:val="footnote reference"/>
    <w:qFormat/>
    <w:uiPriority w:val="0"/>
    <w:rPr>
      <w:vertAlign w:val="superscript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4">
    <w:name w:val="Текст сноски Знак"/>
    <w:basedOn w:val="8"/>
    <w:link w:val="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Текст выноски Знак"/>
    <w:basedOn w:val="8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western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paragraph" w:customStyle="1" w:styleId="17">
    <w:name w:val="Основной текст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18">
    <w:name w:val="Нормальный (таблица)"/>
    <w:basedOn w:val="1"/>
    <w:next w:val="1"/>
    <w:unhideWhenUsed/>
    <w:qFormat/>
    <w:uiPriority w:val="99"/>
    <w:rPr>
      <w:sz w:val="24"/>
    </w:rPr>
  </w:style>
  <w:style w:type="character" w:customStyle="1" w:styleId="19">
    <w:name w:val="Цветовое выделение для Текст"/>
    <w:unhideWhenUsed/>
    <w:qFormat/>
    <w:uiPriority w:val="99"/>
    <w:rPr>
      <w:rFonts w:hint="default"/>
      <w:sz w:val="24"/>
    </w:rPr>
  </w:style>
  <w:style w:type="character" w:customStyle="1" w:styleId="20">
    <w:name w:val="Текст концевой сноски Знак"/>
    <w:basedOn w:val="8"/>
    <w:link w:val="4"/>
    <w:qFormat/>
    <w:uiPriority w:val="0"/>
    <w:rPr>
      <w:rFonts w:ascii="Arial" w:hAnsi="Arial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5A1CAD-BC66-4F42-9FBF-F697407A3B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Департамент социальной политики ЧАО</Company>
  <Pages>3</Pages>
  <Words>921</Words>
  <Characters>5250</Characters>
  <Lines>43</Lines>
  <Paragraphs>12</Paragraphs>
  <TotalTime>9</TotalTime>
  <ScaleCrop>false</ScaleCrop>
  <LinksUpToDate>false</LinksUpToDate>
  <CharactersWithSpaces>6159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2019-05-28T05:07:00Z</dcterms:created>
  <dc:creator>Шарафутдинова С.М.</dc:creator>
  <cp:lastModifiedBy>fam2-uspn</cp:lastModifiedBy>
  <cp:lastPrinted>2019-05-23T02:58:00Z</cp:lastPrinted>
  <dcterms:modified xsi:type="dcterms:W3CDTF">2019-07-30T23:59:55Z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