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октября 2020 года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1152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40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0"/>
      </w:tblGrid>
      <w:tr>
        <w:trPr/>
        <w:tc>
          <w:tcPr>
            <w:tcW w:w="504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color w:val="000000"/>
                <w:spacing w:val="-1"/>
                <w:sz w:val="26"/>
                <w:szCs w:val="26"/>
              </w:rPr>
              <w:t>О возложении на Коновалову Т.Г.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</w:t>
            </w:r>
          </w:p>
        </w:tc>
      </w:tr>
    </w:tbl>
    <w:p>
      <w:pPr>
        <w:pStyle w:val="Normal"/>
        <w:tabs>
          <w:tab w:val="left" w:pos="709" w:leader="none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ab/>
      </w:r>
    </w:p>
    <w:p>
      <w:pPr>
        <w:pStyle w:val="Normal"/>
        <w:tabs>
          <w:tab w:val="left" w:pos="709" w:leader="none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color w:val="000000"/>
          <w:spacing w:val="-2"/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пункта 16 Национального плана противодействия коррупции на 2018-2020 годы, утверждённого Указом Президента Российской Федерации от 29 июня 2018 года № 378, в соответствии с Федеральными законами от 25 декабря 2008 года № 273-ФЗ «О противодействии коррупции», от 5 апреля 2013 года № 44-ФЗ «О контрактной системе в сфере закупок товаров, работ, услуг для обеспечения государственных и муниципальных нужд», в целях осуществления комплексной работы, направленной на выявление личной заинтересованности служащих (работников) при осуществлении закупок, которая </w:t>
      </w:r>
      <w:bookmarkStart w:id="0" w:name="__DdeLink__44_3494981482"/>
      <w:r>
        <w:rPr>
          <w:sz w:val="26"/>
          <w:szCs w:val="26"/>
        </w:rPr>
        <w:t>приведёт</w:t>
      </w:r>
      <w:bookmarkEnd w:id="0"/>
      <w:r>
        <w:rPr>
          <w:sz w:val="26"/>
          <w:szCs w:val="26"/>
        </w:rPr>
        <w:t xml:space="preserve"> или может привести к конфликту интересов</w:t>
      </w:r>
    </w:p>
    <w:p>
      <w:pPr>
        <w:pStyle w:val="1"/>
        <w:jc w:val="both"/>
        <w:rPr>
          <w:sz w:val="26"/>
          <w:szCs w:val="26"/>
        </w:rPr>
      </w:pPr>
      <w:r>
        <w:rPr>
          <w:b w:val="false"/>
        </w:rPr>
        <w:br/>
      </w:r>
      <w:r>
        <w:rPr>
          <w:sz w:val="26"/>
          <w:szCs w:val="26"/>
        </w:rPr>
        <w:t>ПРИКАЗЫВАЮ: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09" w:leader="none"/>
        </w:tabs>
        <w:ind w:firstLine="709"/>
        <w:jc w:val="both"/>
        <w:rPr/>
      </w:pPr>
      <w:r>
        <w:rPr>
          <w:sz w:val="26"/>
          <w:szCs w:val="26"/>
        </w:rPr>
        <w:t>1. Возложить на Коновалову Татьяну Геннадьевну</w:t>
      </w:r>
      <w:r>
        <w:rPr>
          <w:color w:val="000000"/>
          <w:spacing w:val="-2"/>
          <w:sz w:val="26"/>
          <w:szCs w:val="26"/>
        </w:rPr>
        <w:t xml:space="preserve">, начальника </w:t>
      </w:r>
      <w:r>
        <w:rPr>
          <w:sz w:val="26"/>
          <w:szCs w:val="26"/>
        </w:rPr>
        <w:t xml:space="preserve">отдела дополнительного пенсионного обеспечения и государственной службы Департамента социальной политики </w:t>
      </w:r>
      <w:r>
        <w:rPr>
          <w:color w:val="000000"/>
          <w:spacing w:val="-2"/>
          <w:sz w:val="26"/>
          <w:szCs w:val="26"/>
        </w:rPr>
        <w:t xml:space="preserve">Чукотского автономного округа, ответственность </w:t>
      </w:r>
      <w:r>
        <w:rPr>
          <w:color w:val="000000"/>
          <w:spacing w:val="-1"/>
          <w:sz w:val="26"/>
          <w:szCs w:val="26"/>
        </w:rPr>
        <w:t xml:space="preserve">по предупреждению коррупционных правонарушений (выявление личной заинтересованности </w:t>
      </w:r>
      <w:r>
        <w:rPr>
          <w:sz w:val="26"/>
          <w:szCs w:val="26"/>
        </w:rPr>
        <w:t>служащих (работников), которая приведёт или может привести к конфликту интересов</w:t>
      </w:r>
      <w:r>
        <w:rPr>
          <w:color w:val="000000"/>
          <w:spacing w:val="-1"/>
          <w:sz w:val="26"/>
          <w:szCs w:val="26"/>
        </w:rPr>
        <w:t>) при осуществлении закупок в Департаменте</w:t>
      </w:r>
      <w:r>
        <w:rPr>
          <w:color w:val="000000"/>
          <w:spacing w:val="-2"/>
          <w:sz w:val="26"/>
          <w:szCs w:val="26"/>
        </w:rPr>
        <w:t xml:space="preserve"> социальной политики Чукотского автономного округа</w:t>
      </w:r>
      <w:r>
        <w:rPr>
          <w:sz w:val="26"/>
          <w:szCs w:val="26"/>
        </w:rPr>
        <w:t>.</w:t>
      </w:r>
    </w:p>
    <w:p>
      <w:pPr>
        <w:pStyle w:val="Normal"/>
        <w:tabs>
          <w:tab w:val="left" w:pos="630" w:leader="none"/>
        </w:tabs>
        <w:ind w:firstLine="630"/>
        <w:jc w:val="both"/>
        <w:rPr/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>
      <w:pPr>
        <w:pStyle w:val="Normal"/>
        <w:jc w:val="both"/>
        <w:rPr>
          <w:sz w:val="26"/>
          <w:szCs w:val="26"/>
        </w:rPr>
      </w:pPr>
      <w:bookmarkStart w:id="1" w:name="_GoBack"/>
      <w:bookmarkStart w:id="2" w:name="_GoBack"/>
      <w:bookmarkEnd w:id="2"/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outlineLvl w:val="2"/>
        <w:rPr/>
      </w:pPr>
      <w:r>
        <w:rPr/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posOffset>234315</wp:posOffset>
            </wp:positionH>
            <wp:positionV relativeFrom="paragraph">
              <wp:posOffset>132080</wp:posOffset>
            </wp:positionV>
            <wp:extent cx="4539615" cy="108013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709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7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1700-4F87-4CBA-A6D5-F2739AF4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LibreOffice/5.4.0.3$Windows_x86 LibreOffice_project/7556cbc6811c9d992f4064ab9287069087d7f62c</Application>
  <Pages>1</Pages>
  <Words>184</Words>
  <Characters>1306</Characters>
  <CharactersWithSpaces>1486</CharactersWithSpaces>
  <Paragraphs>14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2020-11-02T10:45:08Z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