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6" w:rsidRPr="00CC43D8" w:rsidRDefault="00F855B6" w:rsidP="00366F58">
      <w:pPr>
        <w:pStyle w:val="7"/>
        <w:spacing w:line="360" w:lineRule="auto"/>
        <w:jc w:val="center"/>
        <w:rPr>
          <w:rFonts w:ascii="Arial" w:hAnsi="Arial" w:cs="Arial"/>
          <w:b/>
        </w:rPr>
      </w:pPr>
      <w:r w:rsidRPr="00CC43D8">
        <w:rPr>
          <w:rFonts w:ascii="Arial" w:hAnsi="Arial" w:cs="Arial"/>
          <w:b/>
        </w:rPr>
        <w:t>ДЕПАРТАМЕНТ ФИНАНСОВ, ЭКОНОМИКИ И ИМУЩЕСТВЕННЫХ ОТНОШЕНИЙ ЧУКОТСКОГО АВТОНОМНОГО ОКРУГА</w:t>
      </w:r>
    </w:p>
    <w:p w:rsidR="00F855B6" w:rsidRPr="00CC43D8" w:rsidRDefault="00F855B6" w:rsidP="00F855B6">
      <w:pPr>
        <w:ind w:firstLine="720"/>
        <w:jc w:val="center"/>
        <w:rPr>
          <w:rFonts w:ascii="Arial" w:hAnsi="Arial" w:cs="Arial"/>
          <w:b/>
        </w:rPr>
      </w:pPr>
      <w:r w:rsidRPr="00CC43D8">
        <w:rPr>
          <w:rFonts w:ascii="Arial" w:hAnsi="Arial" w:cs="Arial"/>
          <w:b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F855B6" w:rsidRPr="00CC43D8" w:rsidTr="008D7490">
        <w:tc>
          <w:tcPr>
            <w:tcW w:w="9747" w:type="dxa"/>
            <w:gridSpan w:val="3"/>
          </w:tcPr>
          <w:p w:rsidR="00F855B6" w:rsidRPr="00CC43D8" w:rsidRDefault="00F855B6" w:rsidP="008B55AE">
            <w:pPr>
              <w:pStyle w:val="1"/>
              <w:ind w:firstLine="720"/>
              <w:rPr>
                <w:sz w:val="24"/>
                <w:szCs w:val="24"/>
              </w:rPr>
            </w:pPr>
            <w:r w:rsidRPr="00CC43D8">
              <w:rPr>
                <w:sz w:val="24"/>
                <w:szCs w:val="24"/>
              </w:rPr>
              <w:t>П Р И К А З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F855B6" w:rsidRPr="00CC43D8" w:rsidTr="008B55AE">
              <w:tc>
                <w:tcPr>
                  <w:tcW w:w="10031" w:type="dxa"/>
                </w:tcPr>
                <w:p w:rsidR="00F855B6" w:rsidRPr="00CC43D8" w:rsidRDefault="00F855B6" w:rsidP="008B55AE">
                  <w:pPr>
                    <w:ind w:firstLine="72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855B6" w:rsidRPr="00CC43D8" w:rsidRDefault="00F855B6" w:rsidP="008B55AE">
            <w:pPr>
              <w:ind w:firstLine="720"/>
              <w:rPr>
                <w:b/>
              </w:rPr>
            </w:pPr>
            <w:r w:rsidRPr="00CC43D8">
              <w:rPr>
                <w:b/>
              </w:rPr>
              <w:t> </w:t>
            </w:r>
          </w:p>
        </w:tc>
      </w:tr>
      <w:tr w:rsidR="00F855B6" w:rsidRPr="00CC43D8" w:rsidTr="008D7490">
        <w:trPr>
          <w:trHeight w:val="519"/>
        </w:trPr>
        <w:tc>
          <w:tcPr>
            <w:tcW w:w="2943" w:type="dxa"/>
          </w:tcPr>
          <w:p w:rsidR="00F855B6" w:rsidRPr="00CC43D8" w:rsidRDefault="00F855B6" w:rsidP="0095159C">
            <w:pPr>
              <w:jc w:val="both"/>
              <w:rPr>
                <w:b/>
              </w:rPr>
            </w:pPr>
            <w:r w:rsidRPr="00CC43D8">
              <w:rPr>
                <w:b/>
              </w:rPr>
              <w:t>от</w:t>
            </w:r>
            <w:r w:rsidR="00C84268" w:rsidRPr="00CC43D8">
              <w:rPr>
                <w:b/>
              </w:rPr>
              <w:t xml:space="preserve"> </w:t>
            </w:r>
            <w:r w:rsidR="003A1EDA">
              <w:rPr>
                <w:b/>
              </w:rPr>
              <w:t>18</w:t>
            </w:r>
            <w:r w:rsidR="0003523E">
              <w:rPr>
                <w:b/>
              </w:rPr>
              <w:t xml:space="preserve"> </w:t>
            </w:r>
            <w:r w:rsidR="0095159C">
              <w:rPr>
                <w:b/>
              </w:rPr>
              <w:t>января</w:t>
            </w:r>
            <w:r w:rsidR="0003523E">
              <w:rPr>
                <w:b/>
              </w:rPr>
              <w:t xml:space="preserve"> </w:t>
            </w:r>
            <w:r w:rsidR="0095159C">
              <w:rPr>
                <w:b/>
              </w:rPr>
              <w:t>2021</w:t>
            </w:r>
            <w:r w:rsidR="00D56B30">
              <w:rPr>
                <w:b/>
              </w:rPr>
              <w:t xml:space="preserve"> </w:t>
            </w:r>
            <w:r w:rsidRPr="00CC43D8">
              <w:rPr>
                <w:b/>
              </w:rPr>
              <w:t>года</w:t>
            </w:r>
          </w:p>
        </w:tc>
        <w:tc>
          <w:tcPr>
            <w:tcW w:w="3969" w:type="dxa"/>
          </w:tcPr>
          <w:p w:rsidR="00F855B6" w:rsidRPr="00CC43D8" w:rsidRDefault="00F855B6" w:rsidP="0003523E">
            <w:pPr>
              <w:ind w:firstLine="720"/>
              <w:jc w:val="center"/>
              <w:rPr>
                <w:b/>
              </w:rPr>
            </w:pPr>
            <w:r w:rsidRPr="00CC43D8">
              <w:rPr>
                <w:b/>
              </w:rPr>
              <w:t>№</w:t>
            </w:r>
            <w:r w:rsidR="00F5261E" w:rsidRPr="00CC43D8">
              <w:rPr>
                <w:b/>
              </w:rPr>
              <w:t xml:space="preserve"> </w:t>
            </w:r>
            <w:r w:rsidR="003A1EDA">
              <w:rPr>
                <w:b/>
              </w:rPr>
              <w:t>13</w:t>
            </w:r>
          </w:p>
        </w:tc>
        <w:tc>
          <w:tcPr>
            <w:tcW w:w="2835" w:type="dxa"/>
          </w:tcPr>
          <w:p w:rsidR="00F855B6" w:rsidRPr="00CC43D8" w:rsidRDefault="00C84268" w:rsidP="008D7490">
            <w:pPr>
              <w:ind w:right="-108" w:firstLine="720"/>
              <w:jc w:val="center"/>
              <w:rPr>
                <w:b/>
              </w:rPr>
            </w:pPr>
            <w:r w:rsidRPr="00CC43D8">
              <w:rPr>
                <w:b/>
              </w:rPr>
              <w:t xml:space="preserve">            </w:t>
            </w:r>
            <w:r w:rsidR="00F855B6" w:rsidRPr="00CC43D8">
              <w:rPr>
                <w:b/>
              </w:rPr>
              <w:t>г. Анадырь</w:t>
            </w:r>
          </w:p>
        </w:tc>
      </w:tr>
    </w:tbl>
    <w:p w:rsidR="00F855B6" w:rsidRPr="00CC43D8" w:rsidRDefault="00F855B6" w:rsidP="00F855B6">
      <w:pPr>
        <w:ind w:firstLine="720"/>
        <w:rPr>
          <w:b/>
          <w:bCs/>
        </w:rPr>
      </w:pPr>
      <w:r w:rsidRPr="00CC43D8">
        <w:rPr>
          <w:b/>
          <w:bCs/>
        </w:rPr>
        <w:t> </w:t>
      </w:r>
    </w:p>
    <w:tbl>
      <w:tblPr>
        <w:tblpPr w:leftFromText="180" w:rightFromText="180" w:vertAnchor="text" w:tblpX="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855B6" w:rsidRPr="00CC43D8" w:rsidTr="008B55AE">
        <w:trPr>
          <w:trHeight w:val="8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5B6" w:rsidRPr="00CC43D8" w:rsidRDefault="00274DB5" w:rsidP="0095159C">
            <w:pPr>
              <w:jc w:val="both"/>
              <w:rPr>
                <w:b/>
                <w:bCs/>
              </w:rPr>
            </w:pPr>
            <w:r w:rsidRPr="00CC43D8">
              <w:t>О внесении изменений в приказ Департамента финансов, экономики и имущественных отношений Чукотского</w:t>
            </w:r>
            <w:r w:rsidR="00C84268" w:rsidRPr="00CC43D8">
              <w:t xml:space="preserve"> </w:t>
            </w:r>
            <w:r w:rsidRPr="00CC43D8">
              <w:t xml:space="preserve">автономного округа от </w:t>
            </w:r>
            <w:r w:rsidR="00451374">
              <w:t>2</w:t>
            </w:r>
            <w:r w:rsidR="0095159C">
              <w:t xml:space="preserve">8 июня 2013 </w:t>
            </w:r>
            <w:r w:rsidRPr="00CC43D8">
              <w:t xml:space="preserve">года № </w:t>
            </w:r>
            <w:r w:rsidR="0095159C">
              <w:t>48</w:t>
            </w:r>
          </w:p>
        </w:tc>
      </w:tr>
    </w:tbl>
    <w:p w:rsidR="00F855B6" w:rsidRPr="00CC43D8" w:rsidRDefault="00F855B6" w:rsidP="00F855B6">
      <w:pPr>
        <w:ind w:firstLine="720"/>
        <w:rPr>
          <w:b/>
          <w:bCs/>
        </w:rPr>
      </w:pPr>
    </w:p>
    <w:p w:rsidR="00F855B6" w:rsidRPr="00CC43D8" w:rsidRDefault="00F855B6" w:rsidP="00F855B6">
      <w:pPr>
        <w:tabs>
          <w:tab w:val="left" w:pos="567"/>
        </w:tabs>
        <w:ind w:firstLine="720"/>
        <w:jc w:val="both"/>
      </w:pPr>
    </w:p>
    <w:p w:rsidR="00F855B6" w:rsidRPr="00CC43D8" w:rsidRDefault="00F855B6" w:rsidP="00F855B6">
      <w:pPr>
        <w:ind w:firstLine="720"/>
        <w:jc w:val="both"/>
      </w:pPr>
    </w:p>
    <w:p w:rsidR="00F855B6" w:rsidRPr="00CC43D8" w:rsidRDefault="00F855B6" w:rsidP="00F855B6">
      <w:pPr>
        <w:ind w:firstLine="720"/>
        <w:jc w:val="both"/>
      </w:pPr>
    </w:p>
    <w:p w:rsidR="00F855B6" w:rsidRPr="00CC43D8" w:rsidRDefault="00F855B6" w:rsidP="00F855B6">
      <w:pPr>
        <w:ind w:firstLine="720"/>
        <w:jc w:val="both"/>
      </w:pPr>
    </w:p>
    <w:p w:rsidR="00F855B6" w:rsidRPr="00CC43D8" w:rsidRDefault="00F855B6" w:rsidP="00F855B6">
      <w:pPr>
        <w:jc w:val="both"/>
      </w:pPr>
    </w:p>
    <w:p w:rsidR="00274DB5" w:rsidRPr="00CC43D8" w:rsidRDefault="00850034" w:rsidP="0095159C">
      <w:pPr>
        <w:ind w:firstLine="709"/>
        <w:jc w:val="both"/>
      </w:pPr>
      <w:r w:rsidRPr="00CC43D8">
        <w:t xml:space="preserve">В </w:t>
      </w:r>
      <w:r w:rsidR="00A61641" w:rsidRPr="00D33289">
        <w:t xml:space="preserve">целях </w:t>
      </w:r>
      <w:r w:rsidR="00FB1FDF" w:rsidRPr="00D33289">
        <w:t xml:space="preserve">уточнения </w:t>
      </w:r>
      <w:r w:rsidR="0095159C">
        <w:t>порядка</w:t>
      </w:r>
      <w:r w:rsidR="0095159C" w:rsidRPr="0095159C">
        <w:t xml:space="preserve"> планирования бюджетных ассигнований </w:t>
      </w:r>
      <w:r w:rsidR="00F159F3">
        <w:t xml:space="preserve">окружного бюджета </w:t>
      </w:r>
      <w:r w:rsidR="0095159C" w:rsidRPr="0095159C">
        <w:t>на очередной финансовый год и плановый период</w:t>
      </w:r>
    </w:p>
    <w:p w:rsidR="00850034" w:rsidRPr="00CC43D8" w:rsidRDefault="00850034" w:rsidP="0095159C">
      <w:pPr>
        <w:ind w:firstLine="709"/>
        <w:jc w:val="both"/>
      </w:pPr>
    </w:p>
    <w:p w:rsidR="00F855B6" w:rsidRPr="00CC43D8" w:rsidRDefault="00F855B6" w:rsidP="0095159C">
      <w:pPr>
        <w:jc w:val="both"/>
        <w:rPr>
          <w:b/>
        </w:rPr>
      </w:pPr>
      <w:r w:rsidRPr="00CC43D8">
        <w:rPr>
          <w:b/>
        </w:rPr>
        <w:t>П Р И К А З Ы В А Ю:</w:t>
      </w:r>
    </w:p>
    <w:p w:rsidR="00826282" w:rsidRDefault="00826282" w:rsidP="0095159C">
      <w:pPr>
        <w:ind w:firstLine="709"/>
        <w:jc w:val="both"/>
      </w:pPr>
    </w:p>
    <w:p w:rsidR="0003523E" w:rsidRDefault="0003523E" w:rsidP="00903E37">
      <w:pPr>
        <w:pStyle w:val="af1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C43D8">
        <w:t>Внести в</w:t>
      </w:r>
      <w:r>
        <w:t xml:space="preserve"> </w:t>
      </w:r>
      <w:r w:rsidRPr="00CC43D8">
        <w:t xml:space="preserve">приказ Департамента финансов, экономики и имущественных отношений Чукотского автономного округа </w:t>
      </w:r>
      <w:r w:rsidR="0095159C" w:rsidRPr="0095159C">
        <w:t xml:space="preserve">28 июня 2013 года </w:t>
      </w:r>
      <w:r w:rsidRPr="00F17037">
        <w:t xml:space="preserve">№ </w:t>
      </w:r>
      <w:r w:rsidR="0095159C">
        <w:t>48</w:t>
      </w:r>
      <w:r w:rsidRPr="00F17037">
        <w:t xml:space="preserve"> </w:t>
      </w:r>
      <w:r w:rsidRPr="00CC43D8">
        <w:t>«</w:t>
      </w:r>
      <w:r w:rsidR="0095159C" w:rsidRPr="0095159C">
        <w:t>Об утверждении Порядка планирования бюджетных ассигнований на очередной финансовый год и плановый период</w:t>
      </w:r>
      <w:r w:rsidRPr="00CC43D8">
        <w:t>» (далее - Приказ) следующие изменения:</w:t>
      </w:r>
    </w:p>
    <w:p w:rsidR="00903E37" w:rsidRDefault="00903E37" w:rsidP="00903E37">
      <w:pPr>
        <w:pStyle w:val="af1"/>
        <w:ind w:left="0" w:firstLine="709"/>
        <w:jc w:val="both"/>
      </w:pPr>
      <w:r>
        <w:t>1) в наименовании приказа после слов «</w:t>
      </w:r>
      <w:r w:rsidRPr="00903E37">
        <w:t>бюджетных ассигнований</w:t>
      </w:r>
      <w:r>
        <w:t>» дополнить словами «</w:t>
      </w:r>
      <w:r w:rsidRPr="00903E37">
        <w:t>окружного бюджета</w:t>
      </w:r>
      <w:r>
        <w:t>»;</w:t>
      </w:r>
    </w:p>
    <w:p w:rsidR="00903E37" w:rsidRDefault="00903E37" w:rsidP="00903E37">
      <w:pPr>
        <w:pStyle w:val="af1"/>
        <w:ind w:left="0" w:firstLine="709"/>
        <w:jc w:val="both"/>
      </w:pPr>
      <w:r>
        <w:t>2) в пункте 1 после слов «</w:t>
      </w:r>
      <w:r w:rsidRPr="00903E37">
        <w:t>бюджетных ассигнований</w:t>
      </w:r>
      <w:r>
        <w:t>» дополнить словами «</w:t>
      </w:r>
      <w:r w:rsidRPr="00903E37">
        <w:t>окружного бюджета</w:t>
      </w:r>
      <w:r>
        <w:t>»;</w:t>
      </w:r>
    </w:p>
    <w:p w:rsidR="0095159C" w:rsidRDefault="00903E37" w:rsidP="00903E37">
      <w:pPr>
        <w:pStyle w:val="af1"/>
        <w:ind w:left="0" w:firstLine="709"/>
        <w:jc w:val="both"/>
      </w:pPr>
      <w:r>
        <w:t>3</w:t>
      </w:r>
      <w:r w:rsidR="0095159C">
        <w:t>) в пункте 5 слова «</w:t>
      </w:r>
      <w:r w:rsidR="0095159C" w:rsidRPr="0095159C">
        <w:t>(Калинова А.А.)</w:t>
      </w:r>
      <w:r w:rsidR="0095159C">
        <w:t>» заменить словами «</w:t>
      </w:r>
      <w:r w:rsidR="0095159C" w:rsidRPr="0095159C">
        <w:t>(Кузьменко О.С.)</w:t>
      </w:r>
      <w:r w:rsidR="0095159C">
        <w:t>»;</w:t>
      </w:r>
    </w:p>
    <w:p w:rsidR="00903E37" w:rsidRDefault="00402817" w:rsidP="00903E37">
      <w:pPr>
        <w:pStyle w:val="af1"/>
        <w:ind w:left="0" w:firstLine="709"/>
        <w:jc w:val="both"/>
      </w:pPr>
      <w:r>
        <w:t>4) в приложении к П</w:t>
      </w:r>
      <w:r w:rsidR="00903E37">
        <w:t>риказу:</w:t>
      </w:r>
    </w:p>
    <w:p w:rsidR="0095159C" w:rsidRPr="00943673" w:rsidRDefault="00903E37" w:rsidP="00903E37">
      <w:pPr>
        <w:pStyle w:val="af1"/>
        <w:ind w:left="0" w:firstLine="709"/>
        <w:jc w:val="both"/>
      </w:pPr>
      <w:r w:rsidRPr="00943673">
        <w:t xml:space="preserve">в </w:t>
      </w:r>
      <w:r w:rsidR="00943673" w:rsidRPr="00943673">
        <w:t>наименовании</w:t>
      </w:r>
      <w:r w:rsidRPr="00943673">
        <w:t xml:space="preserve"> </w:t>
      </w:r>
      <w:r>
        <w:t>после слов «</w:t>
      </w:r>
      <w:r w:rsidRPr="00903E37">
        <w:t>бюджетных ассигнований</w:t>
      </w:r>
      <w:r>
        <w:t>» дополнить словами «</w:t>
      </w:r>
      <w:r w:rsidRPr="00903E37">
        <w:t>окружного бюджета</w:t>
      </w:r>
      <w:r>
        <w:t>»;</w:t>
      </w:r>
    </w:p>
    <w:p w:rsidR="0095159C" w:rsidRDefault="0095159C" w:rsidP="00903E37">
      <w:pPr>
        <w:pStyle w:val="af1"/>
        <w:ind w:left="0" w:firstLine="709"/>
        <w:jc w:val="both"/>
      </w:pPr>
      <w:r>
        <w:t>пункты 3.1. – 3.9. изложить в следующей редакции:</w:t>
      </w:r>
    </w:p>
    <w:p w:rsidR="0095159C" w:rsidRDefault="0095159C" w:rsidP="00903E37">
      <w:pPr>
        <w:tabs>
          <w:tab w:val="left" w:pos="1080"/>
        </w:tabs>
        <w:ind w:firstLine="709"/>
        <w:jc w:val="both"/>
      </w:pPr>
      <w:r>
        <w:t>«3.1. Планирование бюджетных ассигнований осуществляется в соответствии с расходными обязательствами Чукотского автономного округа, исполнение которых должно осуществляться за счет средств окружного бюджета.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Расчет прогнозируемого общего объема бюджетных ассигнований основывается на:</w:t>
      </w:r>
    </w:p>
    <w:p w:rsidR="0095159C" w:rsidRDefault="0095159C" w:rsidP="0095159C">
      <w:pPr>
        <w:pStyle w:val="af1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>
        <w:t>реестре расходных обязательств Чукотского автономного округа;</w:t>
      </w:r>
    </w:p>
    <w:p w:rsidR="0095159C" w:rsidRDefault="0095159C" w:rsidP="0095159C">
      <w:pPr>
        <w:pStyle w:val="af1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>
        <w:t>прогнозе социально-экономического развития  Чукотского автономного округа;</w:t>
      </w:r>
    </w:p>
    <w:p w:rsidR="0095159C" w:rsidRDefault="0095159C" w:rsidP="0095159C">
      <w:pPr>
        <w:pStyle w:val="af1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>
        <w:t>фактическом исполнении окружного бюджета за отчетный год и прогнозируемом объеме государственных услуг с учетом приоритетных направлений развития отраслей;</w:t>
      </w:r>
    </w:p>
    <w:p w:rsidR="0095159C" w:rsidRDefault="0095159C" w:rsidP="0095159C">
      <w:pPr>
        <w:pStyle w:val="af1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>
        <w:t>нормативных затратах на оказание государственных услуг;</w:t>
      </w:r>
    </w:p>
    <w:p w:rsidR="0095159C" w:rsidRDefault="0095159C" w:rsidP="0095159C">
      <w:pPr>
        <w:pStyle w:val="af1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>
        <w:t>плановых показателях и оценке ожидаемого исполнения окружного бюджета на текущий финансовый год.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3.2. Планирование бюджетных ассигнований осуществляется по главным распорядителям средств окружного бюджета, раздельно по действующим и принимаемым расходным обязательствам.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 xml:space="preserve">3.3. Перечень и сроки представления субъектами бюджетного планирования и органами местного самоуправления отчетных и (или) прогнозных данных, необходимых для разработки проекта окружного бюджета ежегодно устанавливаются Департаментом </w:t>
      </w:r>
      <w:r>
        <w:lastRenderedPageBreak/>
        <w:t>финансов, экономики и имущественных отношений Чукотского автономного округа (далее – Департамент).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3.4. Планирование бюджетных ассигнований осуществляется Департаментом и главными распорядителями средств окружного бюджета в программном комплексе «Проект-СМАРТ Про» в соответствии с Методикой планирования бюджетных ассигнований.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3.</w:t>
      </w:r>
      <w:r w:rsidR="00C545FB">
        <w:t>5</w:t>
      </w:r>
      <w:r>
        <w:t>. При планировании бюджетных ассигнований в сроки, установленные для составления проекта окружного бюджета на очередной финансовый год и плановый период, главные распорядители средств окружного бюджета: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а) заполняют в программном комплексе «Проект-СМАРТ Про» обоснования бюджетных ассигнований, на основании: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 xml:space="preserve">- расчетов изменений объемов бюджетных ассигнований на исполнение действующих расходных обязательств и принимаемых расходных обязательств в очередном финансовом году и плановом периоде, подготовленных в соответствии с пунктом 4 настоящего Порядка; 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предложений по объему и структуре принимаемых расходных обязательств Чукотского автономного округа;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проектов нормативных правовых актов, предлагаемых (планируемых) к принятию или изменению в очередном финансовом году или концепции (проекты концепций) указанных актов с указанием решений, на основании которых планируется разработка указанных актов.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Обоснование бюджетных ассигнований заполняются с указанием:</w:t>
      </w:r>
    </w:p>
    <w:p w:rsidR="0095159C" w:rsidRPr="008E66AF" w:rsidRDefault="0095159C" w:rsidP="0095159C">
      <w:pPr>
        <w:tabs>
          <w:tab w:val="left" w:pos="1080"/>
        </w:tabs>
        <w:ind w:firstLine="709"/>
        <w:jc w:val="both"/>
      </w:pPr>
      <w:r w:rsidRPr="008E66AF">
        <w:t xml:space="preserve">- </w:t>
      </w:r>
      <w:r w:rsidR="0020250C" w:rsidRPr="008E66AF">
        <w:t>кассовых</w:t>
      </w:r>
      <w:r w:rsidRPr="008E66AF">
        <w:t xml:space="preserve"> расходов за отчетный финансовый год;</w:t>
      </w:r>
    </w:p>
    <w:p w:rsidR="0095159C" w:rsidRPr="008E66AF" w:rsidRDefault="0095159C" w:rsidP="0095159C">
      <w:pPr>
        <w:tabs>
          <w:tab w:val="left" w:pos="1080"/>
        </w:tabs>
        <w:ind w:firstLine="709"/>
        <w:jc w:val="both"/>
      </w:pPr>
      <w:r w:rsidRPr="008E66AF">
        <w:t xml:space="preserve">- показателей в соответствии с первоначальной редакцией бюджета на текущий финансовый год и по состоянию на 1 </w:t>
      </w:r>
      <w:r w:rsidR="00843D7C" w:rsidRPr="008E66AF">
        <w:t>июля</w:t>
      </w:r>
      <w:r w:rsidRPr="008E66AF">
        <w:t xml:space="preserve"> текущего года;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 w:rsidRPr="008E66AF">
        <w:t>- планируемых объемов бюджетных ассигнований на предстоящий финансовый год и плановый</w:t>
      </w:r>
      <w:r>
        <w:t xml:space="preserve"> период в разрезе: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кодов бюджетной классификации;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источников финансирования (окружной бюджет, федеральный бюджет или безвозмездные поступления);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муниципальных образований в случае предоставления межбюджетных трансфертом (за исключением субсидий, распределяемых на конкурсной основе, а также субсидий за счет средств резервного фонда Правительства Чукотского автономного округа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Федерации).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б) представляют в Департамент: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сведения о произведенных кассовых расходах в отчетном финансовом году;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расчеты, указанные в подпункте «а» настоящего пункта;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 xml:space="preserve">- предложения по наименованию (изменению наименований) целевых статей расходов окружного бюджета по принимаемым (действующим) расходным обязательствам; 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 пояснительную записку в части вопросов, отнесенных к ведению соответствующего главного распорядителя средств окружного бюджета (в случае необходимости);</w:t>
      </w:r>
    </w:p>
    <w:p w:rsidR="00757CCB" w:rsidRPr="00C545FB" w:rsidRDefault="00757CCB" w:rsidP="00757CCB">
      <w:pPr>
        <w:tabs>
          <w:tab w:val="left" w:pos="1080"/>
        </w:tabs>
        <w:ind w:firstLine="709"/>
        <w:jc w:val="both"/>
      </w:pPr>
      <w:r w:rsidRPr="00C545FB">
        <w:t xml:space="preserve">- </w:t>
      </w:r>
      <w:r w:rsidRPr="00C545FB">
        <w:t>штатное расписание и штатное замещение и, в случае необходимости, предложения по увеличению штатных единиц, а также п</w:t>
      </w:r>
      <w:r w:rsidRPr="00C545FB">
        <w:t>о изменению систем оплаты труда;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методики (проекты методик) и расчеты распределения межбюджетных трансфертов между муниципальными образованиями Чукотского автономного округа на очередной финансовый год и плановый период;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 xml:space="preserve">- информацию о доходах </w:t>
      </w:r>
      <w:r w:rsidR="00DC25B1">
        <w:t>бюджетны</w:t>
      </w:r>
      <w:r w:rsidR="00DC25B1">
        <w:t>х</w:t>
      </w:r>
      <w:r w:rsidR="00DC25B1">
        <w:t xml:space="preserve"> и автономны</w:t>
      </w:r>
      <w:r w:rsidR="00DC25B1">
        <w:t>х</w:t>
      </w:r>
      <w:r w:rsidR="00DC25B1">
        <w:t xml:space="preserve"> учреждени</w:t>
      </w:r>
      <w:r w:rsidR="00DC25B1">
        <w:t>й</w:t>
      </w:r>
      <w:r w:rsidR="00DC25B1">
        <w:t xml:space="preserve"> Чукотского автономного округа </w:t>
      </w:r>
      <w:r>
        <w:t>от оказания платных услуг, безвозмездных поступлений от физических и юридических лиц, в том числе добровольных пожертвований, и от иной приносящей доход деятельности за отчетный финансовый год и плановы</w:t>
      </w:r>
      <w:r w:rsidR="00DC25B1">
        <w:t>х</w:t>
      </w:r>
      <w:r>
        <w:t xml:space="preserve"> показателях на предстоящий период</w:t>
      </w:r>
      <w:r w:rsidR="003401B4">
        <w:t xml:space="preserve"> и </w:t>
      </w:r>
      <w:r w:rsidR="003401B4" w:rsidRPr="00EE5789">
        <w:t xml:space="preserve">об остатках </w:t>
      </w:r>
      <w:r w:rsidR="00DC25B1" w:rsidRPr="00EE5789">
        <w:t xml:space="preserve">средств на счетах бюджетных и автономных учреждений </w:t>
      </w:r>
      <w:r w:rsidR="002636B9" w:rsidRPr="00EE5789">
        <w:t xml:space="preserve">Чукотского автономного округа </w:t>
      </w:r>
      <w:r w:rsidR="00DC25B1" w:rsidRPr="00EE5789">
        <w:t>по состоянию на 1 января текущего финансового года</w:t>
      </w:r>
      <w:r w:rsidRPr="00EE5789">
        <w:t>.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lastRenderedPageBreak/>
        <w:t>Департамент вправе запрашивать у главных распорядителей средств окружного бюджета документы и материалы, необходимые для подтверждения обоснованности заявленных бюджетных ассигнований.</w:t>
      </w:r>
    </w:p>
    <w:p w:rsidR="0095159C" w:rsidRDefault="00C545FB" w:rsidP="0095159C">
      <w:pPr>
        <w:tabs>
          <w:tab w:val="left" w:pos="1080"/>
        </w:tabs>
        <w:ind w:firstLine="709"/>
        <w:jc w:val="both"/>
      </w:pPr>
      <w:r>
        <w:t>3.6</w:t>
      </w:r>
      <w:r w:rsidR="0095159C">
        <w:t>. После формирования главными распорядителями средств окружного бюджета обоснований бюджетных ассигнований Департамент: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а) анализирует кассовые расходы главных распорядителей средств окружного бюджета за отчетный финансовый год;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б) рассматривает, проверяет и консолидирует обоснования бюджетных ассигнований на очередной финансовый год и плановый период по главным распорядителям средств окружного бюджета;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г) осуществляет анализ представленных главными распорядителями средств окружного бюджета проектов расчетов изменений объемов бюджетных ассигнований на исполнение действующих расходных обязательств на очередной финансовый год и плановый период по сравнению с объемами, утвержденными в текущем финансовом году и проектов расчетов объемов бюджетных ассигнований на исполнение принимаемых расходных обязательств на очередной финансовый год и плановый период с учетом оптимизации объема и структуры расходных обязательств и бюджетных ассигнований, необходимых для их исполнения;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д) проверяет правильность распределения бюджетных ассигнований представленных главными распорядителями средств окружного бюджета по кодам классификации расходов в соответствии с бюджетной классификацией Российской Федерации и указаниями Департамента о порядке применения бюджетной классификации, относящейся к окружному бюджету.</w:t>
      </w:r>
    </w:p>
    <w:p w:rsidR="0095159C" w:rsidRDefault="00C545FB" w:rsidP="0095159C">
      <w:pPr>
        <w:tabs>
          <w:tab w:val="left" w:pos="1080"/>
        </w:tabs>
        <w:ind w:firstLine="709"/>
        <w:jc w:val="both"/>
      </w:pPr>
      <w:r>
        <w:t>3.7</w:t>
      </w:r>
      <w:r w:rsidR="0095159C">
        <w:t>. Рассмотрение обоснований бюджетных ассигнований осуществляется с учетом следующего: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а) объем бюджетных ассигнований на исполнение обязательств не может превышать планируемого объема доходов окружного бюджета и сальдо источников финансирования дефицита окружного бюджета. В случае невыполнения данного соотношения действующие обязательства подлежат сокращению.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 xml:space="preserve">б) исходя из </w:t>
      </w:r>
      <w:proofErr w:type="spellStart"/>
      <w:r>
        <w:t>приоритизации</w:t>
      </w:r>
      <w:proofErr w:type="spellEnd"/>
      <w:r>
        <w:t xml:space="preserve"> структуры расходов окружного бюджета с учетом обеспечения в первую очередь бюджетными ассигнованиями: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исполнения публичных обязательств, публичных нормативных обязательств и иных социальных выплат населению;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достижения национальных целей развития Российской Федерации,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а также целей и целевых показателей, задач национальных проектов (программ), формируемых в соответствии с Указом;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обеспечения целевых показателей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и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мероприятий, связанных с обеспечением поручений Президента Российской Федерации и Правительства Российской Федерации, Губернатора Чукотского автономного округа и Правительства Чукотского автономного округа, а также рекомендаций Думы Чукотского автономного округа;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оплаты труда;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уплаты налогов и сборов в соответствии с законодательством Российской Федерации о налогах и сборах;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 xml:space="preserve">- предоставления местным бюджетам дотаций на выравнивание бюджетной обеспеченности муниципальных образований Чукотского автономного округа и субвенций с </w:t>
      </w:r>
      <w:r>
        <w:lastRenderedPageBreak/>
        <w:t>учетом финансового обеспечения полномочий, переданных органам местного самоуправления Чукотского автономного округа;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 xml:space="preserve">- соблюдения необходимого уровня </w:t>
      </w:r>
      <w:proofErr w:type="spellStart"/>
      <w:r>
        <w:t>софинансирования</w:t>
      </w:r>
      <w:proofErr w:type="spellEnd"/>
      <w:r>
        <w:t xml:space="preserve"> при получении средств из федерального бюджета;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формирования резервного фонда Правительства Чукотского автономного округа;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учета заключений Счетной палаты Чукотского автономного округа по итогам контрольных и экспертно-аналитических мероприятий;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- необходимости достижения запланированных значений целевых индикаторов (показателей) государственных программ Чукотского автономного округа.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в) сокращения (минимизация) дебиторской задолженности по расходам, в том числе образовавшейся в связи с авансированием договоров (государственных контрактов);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г) распределения бюджетных ассигнований с учетом прогнозируемых неиспользованных остатков средств на счетах подведомственных учреждений по состоянию на начало текущего финансового года;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д) распределения бюджетных ассигнований на основе анализа эффективности использования и уровня исполнения бюджетных ассигнований, предоставленных из окружного бюджета на соответствующие цели, в предыдущих периодах.</w:t>
      </w:r>
    </w:p>
    <w:p w:rsidR="0095159C" w:rsidRDefault="0095159C" w:rsidP="0095159C">
      <w:pPr>
        <w:tabs>
          <w:tab w:val="left" w:pos="1080"/>
        </w:tabs>
        <w:ind w:firstLine="709"/>
        <w:jc w:val="both"/>
      </w:pPr>
      <w:r>
        <w:t>3.</w:t>
      </w:r>
      <w:r w:rsidR="00C545FB">
        <w:t>8</w:t>
      </w:r>
      <w:r>
        <w:t>. Для подготовки проекта закона Чукотского автономного округа «О внесение изменений в закон Чукотского автономного округа об окружном бюджете на текущий финансовый год и плановый период» главные распорядители средств окружного бюджета формируют в программном комплексе «Проект-СМАРТ Про» заявки с предложениями по изменению бюджетных ассигнований (лимитов бюджетных обязательств), а также направляют в Департамент на бумажном носителе обоснования (расчеты) вносимых изменений.»;</w:t>
      </w:r>
    </w:p>
    <w:p w:rsidR="00C545FB" w:rsidRDefault="00C545FB" w:rsidP="0095159C">
      <w:pPr>
        <w:tabs>
          <w:tab w:val="left" w:pos="1080"/>
        </w:tabs>
        <w:ind w:firstLine="709"/>
        <w:jc w:val="both"/>
      </w:pPr>
      <w:r>
        <w:t>пункт 3.9. исключ</w:t>
      </w:r>
      <w:bookmarkStart w:id="0" w:name="_GoBack"/>
      <w:bookmarkEnd w:id="0"/>
      <w:r>
        <w:t>ить;</w:t>
      </w:r>
    </w:p>
    <w:p w:rsidR="0095159C" w:rsidRDefault="0095159C" w:rsidP="002770B2">
      <w:pPr>
        <w:tabs>
          <w:tab w:val="left" w:pos="1080"/>
        </w:tabs>
        <w:ind w:firstLine="709"/>
        <w:jc w:val="both"/>
      </w:pPr>
      <w:r>
        <w:t>в пункте 4.2. слова «</w:t>
      </w:r>
      <w:r w:rsidRPr="0095159C">
        <w:t>Постановлением Правительства Чукотского автономного округа от 30 марта 2011 г. № 115 «О порядке формирования государственного задания в отношении государственных учреждений Чукотского автономного округа и финансовом обеспечении выполнения государственного задания» с учетом методических рекомендаций по расчету нормативных затрат на оказание государственными учреждениями Чукотского автономного округа государственных услуг (выполнение работ) и нормативных затрат на содержание имущества государственных учреждений Чукотского автономного округа, утвержденных приказом Департамента финансов, экономики и имущественных отношений Чукотского автономного округа от 7 июля 2011 г. № 78</w:t>
      </w:r>
      <w:r>
        <w:t>» заменить словами «</w:t>
      </w:r>
      <w:r w:rsidRPr="0095159C">
        <w:t>Постановлением Правительства Чукотского автономного округа от 22 декабря 2015 г. № 622 «О порядке формирования государственного задания на оказание государственных услуг (выполнение работ) в отношении государственных учреждений Чукотского автономного округа и финансового обеспечения выполнения государственного задания» с учетом методических рекомендаций по  расчету нормативных затрат на оказание государственной услуги, применяемых при расчёте объёма финансового обеспечения выполнения государственного задания, утвержденных Приказом Департамента финансов, экономики и имущественных отношений Чукотского автономного округа от 29 декабря 2015 г. № 114</w:t>
      </w:r>
      <w:r>
        <w:t>»;</w:t>
      </w:r>
    </w:p>
    <w:p w:rsidR="0095159C" w:rsidRDefault="0095159C" w:rsidP="002770B2">
      <w:pPr>
        <w:tabs>
          <w:tab w:val="left" w:pos="1080"/>
        </w:tabs>
        <w:ind w:firstLine="709"/>
        <w:jc w:val="both"/>
      </w:pPr>
      <w:r>
        <w:t>в пункте 4.3. слова «</w:t>
      </w:r>
      <w:r w:rsidRPr="0095159C">
        <w:t>Постановлением Правительства Чукотского автономного округа от 22 августа 2011 г. № 335 «Об утверждении Порядка определения объема и условий предоставления субсидий на иные цели из окружного бюджета государственным бюджетным и автономным учреждениям Чукотского автономного округа»</w:t>
      </w:r>
      <w:r>
        <w:t>» заменить словами «</w:t>
      </w:r>
      <w:r w:rsidRPr="0095159C">
        <w:t>с нормативными правовыми актами Чукотского автономного округа, устанавливающими порядки определения объема и предоставления указанных субсидий</w:t>
      </w:r>
      <w:r>
        <w:t>»;</w:t>
      </w:r>
    </w:p>
    <w:p w:rsidR="0095159C" w:rsidRDefault="0095159C" w:rsidP="002770B2">
      <w:pPr>
        <w:tabs>
          <w:tab w:val="left" w:pos="1080"/>
        </w:tabs>
        <w:ind w:firstLine="709"/>
        <w:jc w:val="both"/>
      </w:pPr>
      <w:r>
        <w:t>в абзаце втором пункта 4.1.4 слова «</w:t>
      </w:r>
      <w:r w:rsidRPr="0095159C">
        <w:t>Постановлением Правительства Чукотского автономного округа от 12 августа 2010 г. № 253 «Об утверждении Правил принятия решений о заключении долгосрочных государственных контрактов на выполнение работ (оказание услуг) с длительным производственным циклом»</w:t>
      </w:r>
      <w:r>
        <w:t>» заменить словами «</w:t>
      </w:r>
      <w:r w:rsidRPr="0095159C">
        <w:t xml:space="preserve">Постановлением Правительства Чукотского автономного округа от 14 февраля 2014 г. № 63 «Об утверждении </w:t>
      </w:r>
      <w:r w:rsidRPr="0095159C">
        <w:lastRenderedPageBreak/>
        <w:t>Правил принятия решений о заключении государственных контрактов на поставку товаров, выполнение работ, оказание услуг для обеспечения государственных нужд на срок, превышающий срок действия утвержденных лимитов бюджетных обязательств»</w:t>
      </w:r>
      <w:r>
        <w:t>;</w:t>
      </w:r>
    </w:p>
    <w:p w:rsidR="0095159C" w:rsidRDefault="0095159C" w:rsidP="002770B2">
      <w:pPr>
        <w:tabs>
          <w:tab w:val="left" w:pos="1080"/>
        </w:tabs>
        <w:ind w:firstLine="709"/>
        <w:jc w:val="both"/>
      </w:pPr>
      <w:r>
        <w:t>в пункте 4.15.</w:t>
      </w:r>
      <w:r w:rsidRPr="0095159C">
        <w:t xml:space="preserve"> </w:t>
      </w:r>
      <w:r>
        <w:t>слова «</w:t>
      </w:r>
      <w:r w:rsidRPr="0095159C">
        <w:t>Российской Федерации и</w:t>
      </w:r>
      <w:r>
        <w:t>» исключить.</w:t>
      </w:r>
    </w:p>
    <w:p w:rsidR="002770B2" w:rsidRDefault="0095159C" w:rsidP="002770B2">
      <w:pPr>
        <w:tabs>
          <w:tab w:val="left" w:pos="1080"/>
        </w:tabs>
        <w:ind w:firstLine="709"/>
        <w:jc w:val="both"/>
      </w:pPr>
      <w:r>
        <w:t>2</w:t>
      </w:r>
      <w:r w:rsidR="002770B2">
        <w:t>. Отделу правового обеспечения и гражданской службы (Маслова А.В.):</w:t>
      </w:r>
    </w:p>
    <w:p w:rsidR="002770B2" w:rsidRDefault="002770B2" w:rsidP="002770B2">
      <w:pPr>
        <w:tabs>
          <w:tab w:val="left" w:pos="1080"/>
        </w:tabs>
        <w:ind w:firstLine="709"/>
        <w:jc w:val="both"/>
      </w:pPr>
      <w:r>
        <w:t>1) ознакомить с настоящим приказом всех заинтересованных должностных лиц Департамента под роспись;</w:t>
      </w:r>
    </w:p>
    <w:p w:rsidR="002770B2" w:rsidRDefault="002770B2" w:rsidP="002770B2">
      <w:pPr>
        <w:tabs>
          <w:tab w:val="left" w:pos="1080"/>
        </w:tabs>
        <w:ind w:firstLine="709"/>
        <w:jc w:val="both"/>
      </w:pPr>
      <w:r>
        <w:t>2) довести настоящий приказ до сведения главных распорядителей средств окружного бюджета и финансовых органов муниципальных образований Чукотского автономного округа (по списку);</w:t>
      </w:r>
    </w:p>
    <w:p w:rsidR="002770B2" w:rsidRDefault="002770B2" w:rsidP="002770B2">
      <w:pPr>
        <w:tabs>
          <w:tab w:val="left" w:pos="1080"/>
        </w:tabs>
        <w:ind w:firstLine="709"/>
        <w:jc w:val="both"/>
      </w:pPr>
      <w:r>
        <w:t>3) организовать работу по размещению Приказа на официальном сайте Чукотского автономного округа в сети Интернет.</w:t>
      </w:r>
    </w:p>
    <w:p w:rsidR="002770B2" w:rsidRPr="00DB4394" w:rsidRDefault="0095159C" w:rsidP="002770B2">
      <w:pPr>
        <w:tabs>
          <w:tab w:val="left" w:pos="1080"/>
        </w:tabs>
        <w:ind w:firstLine="709"/>
        <w:jc w:val="both"/>
      </w:pPr>
      <w:r>
        <w:t>3</w:t>
      </w:r>
      <w:r w:rsidR="002770B2" w:rsidRPr="00DB4394">
        <w:t>. Контроль за исполнением настоящего приказа возложить на начальника Управления финансов (Кузьменко О.С.).</w:t>
      </w:r>
    </w:p>
    <w:p w:rsidR="00C06DB1" w:rsidRDefault="00C06DB1" w:rsidP="00C06DB1">
      <w:pPr>
        <w:rPr>
          <w:rFonts w:eastAsiaTheme="minorHAnsi"/>
        </w:rPr>
      </w:pPr>
    </w:p>
    <w:p w:rsidR="00C06DB1" w:rsidRDefault="00C06DB1" w:rsidP="00C06DB1">
      <w:pPr>
        <w:rPr>
          <w:rFonts w:eastAsiaTheme="minorHAnsi"/>
        </w:rPr>
      </w:pPr>
    </w:p>
    <w:p w:rsidR="0095159C" w:rsidRDefault="0095159C" w:rsidP="00C06DB1">
      <w:pPr>
        <w:rPr>
          <w:rFonts w:eastAsiaTheme="minorHAnsi"/>
        </w:rPr>
      </w:pPr>
    </w:p>
    <w:p w:rsidR="0095159C" w:rsidRDefault="0095159C" w:rsidP="00C06DB1">
      <w:pPr>
        <w:rPr>
          <w:rFonts w:eastAsiaTheme="minorHAnsi"/>
        </w:rPr>
      </w:pPr>
    </w:p>
    <w:p w:rsidR="0095159C" w:rsidRDefault="0095159C" w:rsidP="00C06DB1">
      <w:pPr>
        <w:rPr>
          <w:rFonts w:eastAsiaTheme="minorHAnsi"/>
        </w:rPr>
      </w:pPr>
    </w:p>
    <w:p w:rsidR="00C06DB1" w:rsidRPr="00CC43D8" w:rsidRDefault="00C06DB1" w:rsidP="00C06DB1">
      <w:pPr>
        <w:pStyle w:val="2"/>
        <w:jc w:val="both"/>
        <w:rPr>
          <w:b/>
          <w:sz w:val="24"/>
          <w:szCs w:val="24"/>
        </w:rPr>
      </w:pPr>
      <w:r w:rsidRPr="00CC43D8">
        <w:rPr>
          <w:b/>
          <w:sz w:val="24"/>
          <w:szCs w:val="24"/>
        </w:rPr>
        <w:t>Начальник Департамента                                                                                      А.А. Калинова</w:t>
      </w:r>
    </w:p>
    <w:p w:rsidR="00711830" w:rsidRPr="00CC43D8" w:rsidRDefault="00711830" w:rsidP="00F855B6">
      <w:pPr>
        <w:tabs>
          <w:tab w:val="left" w:pos="1080"/>
        </w:tabs>
        <w:ind w:firstLine="709"/>
        <w:jc w:val="both"/>
        <w:sectPr w:rsidR="00711830" w:rsidRPr="00CC43D8" w:rsidSect="00F159F3">
          <w:headerReference w:type="even" r:id="rId9"/>
          <w:headerReference w:type="default" r:id="rId10"/>
          <w:headerReference w:type="first" r:id="rId11"/>
          <w:endnotePr>
            <w:numFmt w:val="decimal"/>
            <w:numRestart w:val="eachSect"/>
          </w:endnotePr>
          <w:pgSz w:w="11907" w:h="16840" w:code="9"/>
          <w:pgMar w:top="1134" w:right="567" w:bottom="851" w:left="1701" w:header="720" w:footer="720" w:gutter="0"/>
          <w:cols w:space="720"/>
          <w:titlePg/>
          <w:docGrid w:linePitch="326"/>
        </w:sectPr>
      </w:pPr>
    </w:p>
    <w:p w:rsidR="000433A8" w:rsidRPr="00CC43D8" w:rsidRDefault="000433A8" w:rsidP="000433A8">
      <w:pPr>
        <w:ind w:firstLine="720"/>
      </w:pPr>
      <w:r w:rsidRPr="00CC43D8">
        <w:lastRenderedPageBreak/>
        <w:t>Подготовила: Коростелёва А.И.</w:t>
      </w:r>
    </w:p>
    <w:p w:rsidR="00722AA9" w:rsidRPr="00CC43D8" w:rsidRDefault="00722AA9" w:rsidP="000433A8">
      <w:pPr>
        <w:ind w:firstLine="720"/>
      </w:pPr>
    </w:p>
    <w:p w:rsidR="000433A8" w:rsidRPr="00CC43D8" w:rsidRDefault="000433A8" w:rsidP="000433A8">
      <w:pPr>
        <w:ind w:firstLine="720"/>
      </w:pPr>
      <w:r w:rsidRPr="00CC43D8">
        <w:t>Согласовано:</w:t>
      </w:r>
    </w:p>
    <w:p w:rsidR="000433A8" w:rsidRPr="00CC43D8" w:rsidRDefault="000433A8" w:rsidP="000433A8">
      <w:pPr>
        <w:ind w:firstLine="720"/>
      </w:pPr>
      <w:r w:rsidRPr="00CC43D8">
        <w:t>Кузьменко О.С.</w:t>
      </w:r>
    </w:p>
    <w:p w:rsidR="000433A8" w:rsidRPr="00CC43D8" w:rsidRDefault="000433A8" w:rsidP="000433A8">
      <w:pPr>
        <w:ind w:firstLine="720"/>
      </w:pPr>
    </w:p>
    <w:p w:rsidR="000433A8" w:rsidRPr="00CC43D8" w:rsidRDefault="000433A8" w:rsidP="000433A8">
      <w:pPr>
        <w:ind w:firstLine="720"/>
      </w:pPr>
      <w:r w:rsidRPr="00CC43D8">
        <w:t>Список должностных лиц Департамента для ознакомления с приказом:</w:t>
      </w:r>
    </w:p>
    <w:p w:rsidR="00257EAC" w:rsidRDefault="00AE76EB" w:rsidP="00257EAC">
      <w:pPr>
        <w:numPr>
          <w:ilvl w:val="0"/>
          <w:numId w:val="4"/>
        </w:numPr>
        <w:jc w:val="both"/>
      </w:pPr>
      <w:r>
        <w:t>Гуральник С</w:t>
      </w:r>
      <w:r w:rsidR="002770B2">
        <w:t>.</w:t>
      </w:r>
      <w:r>
        <w:t>С</w:t>
      </w:r>
      <w:r w:rsidR="002770B2">
        <w:t>.</w:t>
      </w:r>
    </w:p>
    <w:p w:rsidR="000433A8" w:rsidRPr="00CC43D8" w:rsidRDefault="000433A8" w:rsidP="000433A8">
      <w:pPr>
        <w:jc w:val="both"/>
      </w:pPr>
    </w:p>
    <w:p w:rsidR="000433A8" w:rsidRPr="00CC43D8" w:rsidRDefault="000433A8" w:rsidP="000433A8">
      <w:pPr>
        <w:ind w:firstLine="720"/>
        <w:jc w:val="both"/>
      </w:pPr>
      <w:r w:rsidRPr="00CC43D8">
        <w:t>Разослано:</w:t>
      </w:r>
    </w:p>
    <w:p w:rsidR="000433A8" w:rsidRPr="00CC43D8" w:rsidRDefault="000433A8" w:rsidP="000433A8">
      <w:pPr>
        <w:ind w:firstLine="720"/>
        <w:jc w:val="both"/>
      </w:pPr>
      <w:r w:rsidRPr="00CC43D8">
        <w:t>Департамент финансов, экономики и имущественных отношений Чукотского автономного округа (Управление финансов, Управлени</w:t>
      </w:r>
      <w:r w:rsidR="00AE76EB">
        <w:t>е бюджетного учета и отчетности</w:t>
      </w:r>
      <w:r w:rsidR="007314C1">
        <w:t>);</w:t>
      </w:r>
    </w:p>
    <w:p w:rsidR="007314C1" w:rsidRDefault="007314C1" w:rsidP="007314C1">
      <w:pPr>
        <w:ind w:firstLine="720"/>
        <w:jc w:val="both"/>
      </w:pPr>
      <w:r>
        <w:t>Департамент промышленной политики Чукотского автономного округа;</w:t>
      </w:r>
    </w:p>
    <w:p w:rsidR="007314C1" w:rsidRDefault="007314C1" w:rsidP="007314C1">
      <w:pPr>
        <w:ind w:firstLine="720"/>
        <w:jc w:val="both"/>
      </w:pPr>
      <w:r>
        <w:t>Департамент социальной политики Чукотского автономного округа;</w:t>
      </w:r>
    </w:p>
    <w:p w:rsidR="007314C1" w:rsidRDefault="007314C1" w:rsidP="007314C1">
      <w:pPr>
        <w:ind w:firstLine="720"/>
        <w:jc w:val="both"/>
      </w:pPr>
      <w:r>
        <w:t>Департамент сельского хозяйства и продовольствия Чукотского автономного округа;</w:t>
      </w:r>
    </w:p>
    <w:p w:rsidR="007314C1" w:rsidRDefault="007314C1" w:rsidP="007314C1">
      <w:pPr>
        <w:ind w:firstLine="720"/>
        <w:jc w:val="both"/>
      </w:pPr>
      <w:r>
        <w:t>Государственное казённое учреждение «Управление гражданской защиты и противопожарной службы Чукотского автономного округа»;</w:t>
      </w:r>
    </w:p>
    <w:p w:rsidR="007314C1" w:rsidRDefault="007314C1" w:rsidP="007314C1">
      <w:pPr>
        <w:ind w:firstLine="720"/>
        <w:jc w:val="both"/>
      </w:pPr>
      <w:r>
        <w:t>Департамент здравоохранения Чукотского автономного округа;</w:t>
      </w:r>
    </w:p>
    <w:p w:rsidR="007314C1" w:rsidRDefault="007314C1" w:rsidP="007314C1">
      <w:pPr>
        <w:ind w:firstLine="720"/>
        <w:jc w:val="both"/>
      </w:pPr>
      <w:r>
        <w:t>Аппарат Губернатора и Правительства Чукотского автономного округа;</w:t>
      </w:r>
    </w:p>
    <w:p w:rsidR="007314C1" w:rsidRDefault="007314C1" w:rsidP="007314C1">
      <w:pPr>
        <w:ind w:firstLine="720"/>
        <w:jc w:val="both"/>
      </w:pPr>
      <w:r>
        <w:t>Счетная палата Чукотского автономного округа;</w:t>
      </w:r>
    </w:p>
    <w:p w:rsidR="007314C1" w:rsidRDefault="007314C1" w:rsidP="007314C1">
      <w:pPr>
        <w:ind w:firstLine="720"/>
        <w:jc w:val="both"/>
      </w:pPr>
      <w:r>
        <w:t>Комитет государственного регулирования цен и тарифов Чукотского автономного округа;</w:t>
      </w:r>
    </w:p>
    <w:p w:rsidR="007314C1" w:rsidRDefault="007314C1" w:rsidP="007314C1">
      <w:pPr>
        <w:ind w:firstLine="720"/>
        <w:jc w:val="both"/>
      </w:pPr>
      <w:r>
        <w:t>Избирательная комиссия Чукотского автономного округа;</w:t>
      </w:r>
    </w:p>
    <w:p w:rsidR="007314C1" w:rsidRDefault="007314C1" w:rsidP="007314C1">
      <w:pPr>
        <w:ind w:firstLine="720"/>
        <w:jc w:val="both"/>
      </w:pPr>
      <w:r>
        <w:t>Дума Чукотского автономного округа;</w:t>
      </w:r>
    </w:p>
    <w:p w:rsidR="007314C1" w:rsidRDefault="007314C1" w:rsidP="007314C1">
      <w:pPr>
        <w:ind w:firstLine="720"/>
        <w:jc w:val="both"/>
      </w:pPr>
      <w:r>
        <w:t>Департамент природных ресурсов и экологии Чукотского автономного округа;</w:t>
      </w:r>
    </w:p>
    <w:p w:rsidR="007314C1" w:rsidRDefault="007314C1" w:rsidP="007314C1">
      <w:pPr>
        <w:ind w:firstLine="720"/>
        <w:jc w:val="both"/>
      </w:pPr>
      <w:r>
        <w:t>Департамент культуры, спорта и туризма Чукотского автономного округа;</w:t>
      </w:r>
    </w:p>
    <w:p w:rsidR="007314C1" w:rsidRDefault="007314C1" w:rsidP="007314C1">
      <w:pPr>
        <w:ind w:firstLine="720"/>
        <w:jc w:val="both"/>
      </w:pPr>
      <w:r>
        <w:t>Департамент образования и науки Чукотского автономного округа;</w:t>
      </w:r>
    </w:p>
    <w:p w:rsidR="007314C1" w:rsidRDefault="007314C1" w:rsidP="007314C1">
      <w:pPr>
        <w:ind w:firstLine="720"/>
        <w:jc w:val="both"/>
      </w:pPr>
      <w:r>
        <w:t>Управление по обеспечению деятельности мировых судей и юридических консультаций Чукотского автономного округа;</w:t>
      </w:r>
    </w:p>
    <w:p w:rsidR="00AE76EB" w:rsidRDefault="007314C1" w:rsidP="007314C1">
      <w:pPr>
        <w:ind w:firstLine="720"/>
        <w:jc w:val="both"/>
      </w:pPr>
      <w:r>
        <w:t>Комитет по охране объектов культурного наследия Чукотского автономного округа</w:t>
      </w:r>
      <w:r w:rsidR="00673BAF">
        <w:t>;</w:t>
      </w:r>
    </w:p>
    <w:p w:rsidR="000433A8" w:rsidRPr="00CC43D8" w:rsidRDefault="000433A8" w:rsidP="000433A8">
      <w:pPr>
        <w:ind w:firstLine="720"/>
        <w:jc w:val="both"/>
      </w:pPr>
      <w:r w:rsidRPr="00CC43D8">
        <w:t>Финансовые органы муниципальных образований.</w:t>
      </w:r>
    </w:p>
    <w:sectPr w:rsidR="000433A8" w:rsidRPr="00CC43D8" w:rsidSect="006E4A6A">
      <w:endnotePr>
        <w:numFmt w:val="decimal"/>
        <w:numRestart w:val="eachSect"/>
      </w:endnotePr>
      <w:pgSz w:w="11905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2C" w:rsidRDefault="0007072C" w:rsidP="00021E7F">
      <w:r>
        <w:separator/>
      </w:r>
    </w:p>
  </w:endnote>
  <w:endnote w:type="continuationSeparator" w:id="0">
    <w:p w:rsidR="0007072C" w:rsidRDefault="0007072C" w:rsidP="000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2C" w:rsidRDefault="0007072C" w:rsidP="00021E7F">
      <w:r>
        <w:separator/>
      </w:r>
    </w:p>
  </w:footnote>
  <w:footnote w:type="continuationSeparator" w:id="0">
    <w:p w:rsidR="0007072C" w:rsidRDefault="0007072C" w:rsidP="0002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91" w:rsidRDefault="00F27A91" w:rsidP="008B55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27A91" w:rsidRDefault="00F27A91" w:rsidP="008B55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913561"/>
      <w:docPartObj>
        <w:docPartGallery w:val="Page Numbers (Top of Page)"/>
        <w:docPartUnique/>
      </w:docPartObj>
    </w:sdtPr>
    <w:sdtEndPr/>
    <w:sdtContent>
      <w:p w:rsidR="00F27A91" w:rsidRDefault="00F27A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91" w:rsidRDefault="00F27A91">
    <w:pPr>
      <w:pStyle w:val="a3"/>
      <w:jc w:val="right"/>
    </w:pPr>
  </w:p>
  <w:p w:rsidR="00F27A91" w:rsidRDefault="00F27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A5B"/>
    <w:multiLevelType w:val="hybridMultilevel"/>
    <w:tmpl w:val="F10E4084"/>
    <w:lvl w:ilvl="0" w:tplc="C0AE6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7260B"/>
    <w:multiLevelType w:val="hybridMultilevel"/>
    <w:tmpl w:val="D6FAB572"/>
    <w:lvl w:ilvl="0" w:tplc="5448BC36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F73AC"/>
    <w:multiLevelType w:val="hybridMultilevel"/>
    <w:tmpl w:val="B44EA802"/>
    <w:lvl w:ilvl="0" w:tplc="EDBA864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9A4819"/>
    <w:multiLevelType w:val="hybridMultilevel"/>
    <w:tmpl w:val="4FB41502"/>
    <w:lvl w:ilvl="0" w:tplc="7E3A1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93267C"/>
    <w:multiLevelType w:val="multilevel"/>
    <w:tmpl w:val="1D36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>
    <w:nsid w:val="680C5F6C"/>
    <w:multiLevelType w:val="hybridMultilevel"/>
    <w:tmpl w:val="F8C65BB0"/>
    <w:lvl w:ilvl="0" w:tplc="A8C056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A11F6"/>
    <w:multiLevelType w:val="hybridMultilevel"/>
    <w:tmpl w:val="32E4CF18"/>
    <w:lvl w:ilvl="0" w:tplc="6C2C396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DE02FE"/>
    <w:multiLevelType w:val="hybridMultilevel"/>
    <w:tmpl w:val="EF3693CE"/>
    <w:lvl w:ilvl="0" w:tplc="7B0AA008">
      <w:start w:val="1"/>
      <w:numFmt w:val="decimal"/>
      <w:lvlText w:val="%1)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326E7"/>
    <w:multiLevelType w:val="hybridMultilevel"/>
    <w:tmpl w:val="C31208B4"/>
    <w:lvl w:ilvl="0" w:tplc="48460DC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B764DF"/>
    <w:rsid w:val="000034DC"/>
    <w:rsid w:val="00016C95"/>
    <w:rsid w:val="00017754"/>
    <w:rsid w:val="00021E7F"/>
    <w:rsid w:val="00022CEE"/>
    <w:rsid w:val="00027978"/>
    <w:rsid w:val="0003182E"/>
    <w:rsid w:val="00033F2B"/>
    <w:rsid w:val="0003523E"/>
    <w:rsid w:val="000433A8"/>
    <w:rsid w:val="00050639"/>
    <w:rsid w:val="0005682A"/>
    <w:rsid w:val="0007072C"/>
    <w:rsid w:val="00080239"/>
    <w:rsid w:val="000956CF"/>
    <w:rsid w:val="000965CA"/>
    <w:rsid w:val="000A3805"/>
    <w:rsid w:val="000A3C90"/>
    <w:rsid w:val="000A6EA9"/>
    <w:rsid w:val="000B404F"/>
    <w:rsid w:val="000B72BD"/>
    <w:rsid w:val="000D2E23"/>
    <w:rsid w:val="000E1671"/>
    <w:rsid w:val="000E6681"/>
    <w:rsid w:val="000E6EDD"/>
    <w:rsid w:val="000F5A74"/>
    <w:rsid w:val="0010294D"/>
    <w:rsid w:val="00102CC9"/>
    <w:rsid w:val="00104607"/>
    <w:rsid w:val="00106BCA"/>
    <w:rsid w:val="00107288"/>
    <w:rsid w:val="00111543"/>
    <w:rsid w:val="00112E7D"/>
    <w:rsid w:val="00120CAF"/>
    <w:rsid w:val="00124119"/>
    <w:rsid w:val="00132325"/>
    <w:rsid w:val="001377F0"/>
    <w:rsid w:val="00140C3C"/>
    <w:rsid w:val="001412B5"/>
    <w:rsid w:val="00152789"/>
    <w:rsid w:val="00153924"/>
    <w:rsid w:val="0015445C"/>
    <w:rsid w:val="00157B4A"/>
    <w:rsid w:val="001605C1"/>
    <w:rsid w:val="00163035"/>
    <w:rsid w:val="00164481"/>
    <w:rsid w:val="00170841"/>
    <w:rsid w:val="00171688"/>
    <w:rsid w:val="00175EC0"/>
    <w:rsid w:val="00186B40"/>
    <w:rsid w:val="00192328"/>
    <w:rsid w:val="001967C6"/>
    <w:rsid w:val="001A09DF"/>
    <w:rsid w:val="001C2EF9"/>
    <w:rsid w:val="001C45D7"/>
    <w:rsid w:val="001D3C2C"/>
    <w:rsid w:val="001E4CB2"/>
    <w:rsid w:val="001E6F99"/>
    <w:rsid w:val="001E7575"/>
    <w:rsid w:val="002015B9"/>
    <w:rsid w:val="0020250C"/>
    <w:rsid w:val="00204B92"/>
    <w:rsid w:val="00221D28"/>
    <w:rsid w:val="002250BA"/>
    <w:rsid w:val="0024646F"/>
    <w:rsid w:val="002539FB"/>
    <w:rsid w:val="0025656F"/>
    <w:rsid w:val="00257EAC"/>
    <w:rsid w:val="002613CE"/>
    <w:rsid w:val="002636B9"/>
    <w:rsid w:val="00265C83"/>
    <w:rsid w:val="00270827"/>
    <w:rsid w:val="00274DB5"/>
    <w:rsid w:val="002770B2"/>
    <w:rsid w:val="00287DAE"/>
    <w:rsid w:val="002A13D2"/>
    <w:rsid w:val="002A27CE"/>
    <w:rsid w:val="002A7590"/>
    <w:rsid w:val="002A793B"/>
    <w:rsid w:val="002B0E51"/>
    <w:rsid w:val="002B66AC"/>
    <w:rsid w:val="002C2C42"/>
    <w:rsid w:val="002D1DB4"/>
    <w:rsid w:val="002D78F5"/>
    <w:rsid w:val="002E31D9"/>
    <w:rsid w:val="002E3560"/>
    <w:rsid w:val="002F11E3"/>
    <w:rsid w:val="002F1346"/>
    <w:rsid w:val="002F437D"/>
    <w:rsid w:val="002F55B7"/>
    <w:rsid w:val="002F7870"/>
    <w:rsid w:val="0030055E"/>
    <w:rsid w:val="003036EE"/>
    <w:rsid w:val="00321A32"/>
    <w:rsid w:val="003231D5"/>
    <w:rsid w:val="003305CD"/>
    <w:rsid w:val="003401B4"/>
    <w:rsid w:val="003439EE"/>
    <w:rsid w:val="00366F58"/>
    <w:rsid w:val="0037575E"/>
    <w:rsid w:val="00377510"/>
    <w:rsid w:val="00382460"/>
    <w:rsid w:val="0038345E"/>
    <w:rsid w:val="00390598"/>
    <w:rsid w:val="003915E5"/>
    <w:rsid w:val="003A1EDA"/>
    <w:rsid w:val="003A388F"/>
    <w:rsid w:val="003B13D3"/>
    <w:rsid w:val="00400A2B"/>
    <w:rsid w:val="00402817"/>
    <w:rsid w:val="00405D6F"/>
    <w:rsid w:val="00412ADE"/>
    <w:rsid w:val="004225BB"/>
    <w:rsid w:val="00432D85"/>
    <w:rsid w:val="0044110B"/>
    <w:rsid w:val="004429A0"/>
    <w:rsid w:val="00451374"/>
    <w:rsid w:val="004622D4"/>
    <w:rsid w:val="0047246D"/>
    <w:rsid w:val="004727EF"/>
    <w:rsid w:val="0047356D"/>
    <w:rsid w:val="00476013"/>
    <w:rsid w:val="00480095"/>
    <w:rsid w:val="00487650"/>
    <w:rsid w:val="0049204C"/>
    <w:rsid w:val="00492310"/>
    <w:rsid w:val="004A58C5"/>
    <w:rsid w:val="004A77F5"/>
    <w:rsid w:val="004B0010"/>
    <w:rsid w:val="004B1FBA"/>
    <w:rsid w:val="004B68E2"/>
    <w:rsid w:val="004B6B3E"/>
    <w:rsid w:val="004C6422"/>
    <w:rsid w:val="004C689F"/>
    <w:rsid w:val="004C75F9"/>
    <w:rsid w:val="004E0EA6"/>
    <w:rsid w:val="004E4801"/>
    <w:rsid w:val="004E5845"/>
    <w:rsid w:val="005023A4"/>
    <w:rsid w:val="00504508"/>
    <w:rsid w:val="00506656"/>
    <w:rsid w:val="00513175"/>
    <w:rsid w:val="00516674"/>
    <w:rsid w:val="00527CEB"/>
    <w:rsid w:val="005803AE"/>
    <w:rsid w:val="005808E2"/>
    <w:rsid w:val="00596252"/>
    <w:rsid w:val="005A0F78"/>
    <w:rsid w:val="005C4980"/>
    <w:rsid w:val="005C6165"/>
    <w:rsid w:val="005D01B2"/>
    <w:rsid w:val="005E28D9"/>
    <w:rsid w:val="005F0F0E"/>
    <w:rsid w:val="005F295A"/>
    <w:rsid w:val="00604C50"/>
    <w:rsid w:val="0060552F"/>
    <w:rsid w:val="006104EA"/>
    <w:rsid w:val="00620F96"/>
    <w:rsid w:val="00623F55"/>
    <w:rsid w:val="00630A64"/>
    <w:rsid w:val="00642B15"/>
    <w:rsid w:val="006437FE"/>
    <w:rsid w:val="006626ED"/>
    <w:rsid w:val="00673BAF"/>
    <w:rsid w:val="00673FDF"/>
    <w:rsid w:val="00694287"/>
    <w:rsid w:val="006A071A"/>
    <w:rsid w:val="006A1B54"/>
    <w:rsid w:val="006A59E8"/>
    <w:rsid w:val="006A5DF2"/>
    <w:rsid w:val="006B56F2"/>
    <w:rsid w:val="006C5051"/>
    <w:rsid w:val="006E4A6A"/>
    <w:rsid w:val="006F29B0"/>
    <w:rsid w:val="00701FA7"/>
    <w:rsid w:val="00702395"/>
    <w:rsid w:val="007032E1"/>
    <w:rsid w:val="0070404F"/>
    <w:rsid w:val="00705C2E"/>
    <w:rsid w:val="00705E6F"/>
    <w:rsid w:val="00710533"/>
    <w:rsid w:val="00711830"/>
    <w:rsid w:val="007122EC"/>
    <w:rsid w:val="007160A6"/>
    <w:rsid w:val="00722AA9"/>
    <w:rsid w:val="007314C1"/>
    <w:rsid w:val="0073362E"/>
    <w:rsid w:val="007379DA"/>
    <w:rsid w:val="007448A6"/>
    <w:rsid w:val="00744CFA"/>
    <w:rsid w:val="00747D23"/>
    <w:rsid w:val="00750019"/>
    <w:rsid w:val="00757CCB"/>
    <w:rsid w:val="00760B15"/>
    <w:rsid w:val="00763FE5"/>
    <w:rsid w:val="00774C35"/>
    <w:rsid w:val="00776BE9"/>
    <w:rsid w:val="00782D2A"/>
    <w:rsid w:val="00791DF4"/>
    <w:rsid w:val="00792F5E"/>
    <w:rsid w:val="00794522"/>
    <w:rsid w:val="00794B96"/>
    <w:rsid w:val="007952D0"/>
    <w:rsid w:val="00795984"/>
    <w:rsid w:val="007A23F6"/>
    <w:rsid w:val="007B49AE"/>
    <w:rsid w:val="007C7343"/>
    <w:rsid w:val="007C7BF6"/>
    <w:rsid w:val="007E15CE"/>
    <w:rsid w:val="007F758F"/>
    <w:rsid w:val="007F7770"/>
    <w:rsid w:val="00813635"/>
    <w:rsid w:val="00813C88"/>
    <w:rsid w:val="00815C50"/>
    <w:rsid w:val="008167AC"/>
    <w:rsid w:val="00826282"/>
    <w:rsid w:val="00826C61"/>
    <w:rsid w:val="00830829"/>
    <w:rsid w:val="00834F54"/>
    <w:rsid w:val="00837378"/>
    <w:rsid w:val="00843D7C"/>
    <w:rsid w:val="00845CC9"/>
    <w:rsid w:val="00850034"/>
    <w:rsid w:val="00851C6D"/>
    <w:rsid w:val="008612ED"/>
    <w:rsid w:val="00867DC1"/>
    <w:rsid w:val="00872927"/>
    <w:rsid w:val="00872E1B"/>
    <w:rsid w:val="00876DF8"/>
    <w:rsid w:val="00877826"/>
    <w:rsid w:val="00877EB5"/>
    <w:rsid w:val="008849DF"/>
    <w:rsid w:val="00887FA4"/>
    <w:rsid w:val="008936B5"/>
    <w:rsid w:val="00897ACB"/>
    <w:rsid w:val="008A323B"/>
    <w:rsid w:val="008A3F4A"/>
    <w:rsid w:val="008B2A74"/>
    <w:rsid w:val="008B55AE"/>
    <w:rsid w:val="008B6B5A"/>
    <w:rsid w:val="008B7869"/>
    <w:rsid w:val="008C0F24"/>
    <w:rsid w:val="008C662B"/>
    <w:rsid w:val="008C704E"/>
    <w:rsid w:val="008D3B5C"/>
    <w:rsid w:val="008D4386"/>
    <w:rsid w:val="008D7490"/>
    <w:rsid w:val="008E0333"/>
    <w:rsid w:val="008E66AF"/>
    <w:rsid w:val="008E6A04"/>
    <w:rsid w:val="0090044D"/>
    <w:rsid w:val="00900606"/>
    <w:rsid w:val="00902EDF"/>
    <w:rsid w:val="00903E37"/>
    <w:rsid w:val="0090475E"/>
    <w:rsid w:val="00912B45"/>
    <w:rsid w:val="00922CE3"/>
    <w:rsid w:val="00927115"/>
    <w:rsid w:val="0093079D"/>
    <w:rsid w:val="009333A3"/>
    <w:rsid w:val="009352FE"/>
    <w:rsid w:val="00943673"/>
    <w:rsid w:val="0095159C"/>
    <w:rsid w:val="00965403"/>
    <w:rsid w:val="009678DD"/>
    <w:rsid w:val="00982303"/>
    <w:rsid w:val="00985958"/>
    <w:rsid w:val="009B2430"/>
    <w:rsid w:val="009B58BF"/>
    <w:rsid w:val="009B6B53"/>
    <w:rsid w:val="009C72B8"/>
    <w:rsid w:val="009D0B40"/>
    <w:rsid w:val="009D5C65"/>
    <w:rsid w:val="009D65F2"/>
    <w:rsid w:val="009F18C8"/>
    <w:rsid w:val="00A05A64"/>
    <w:rsid w:val="00A0776A"/>
    <w:rsid w:val="00A1060B"/>
    <w:rsid w:val="00A14B0C"/>
    <w:rsid w:val="00A23D87"/>
    <w:rsid w:val="00A30AA2"/>
    <w:rsid w:val="00A400B5"/>
    <w:rsid w:val="00A43394"/>
    <w:rsid w:val="00A4712A"/>
    <w:rsid w:val="00A50107"/>
    <w:rsid w:val="00A50DC0"/>
    <w:rsid w:val="00A520AD"/>
    <w:rsid w:val="00A61641"/>
    <w:rsid w:val="00A8118F"/>
    <w:rsid w:val="00A83D02"/>
    <w:rsid w:val="00A92CC3"/>
    <w:rsid w:val="00AB2286"/>
    <w:rsid w:val="00AB2B1F"/>
    <w:rsid w:val="00AB6CE1"/>
    <w:rsid w:val="00AD0099"/>
    <w:rsid w:val="00AD4269"/>
    <w:rsid w:val="00AE76EB"/>
    <w:rsid w:val="00AE7C59"/>
    <w:rsid w:val="00B03601"/>
    <w:rsid w:val="00B305D4"/>
    <w:rsid w:val="00B3240B"/>
    <w:rsid w:val="00B60DC9"/>
    <w:rsid w:val="00B623AA"/>
    <w:rsid w:val="00B7107B"/>
    <w:rsid w:val="00B718BF"/>
    <w:rsid w:val="00B764DF"/>
    <w:rsid w:val="00B859F6"/>
    <w:rsid w:val="00B91A4B"/>
    <w:rsid w:val="00B95947"/>
    <w:rsid w:val="00BA27CD"/>
    <w:rsid w:val="00BA4447"/>
    <w:rsid w:val="00BF3CE2"/>
    <w:rsid w:val="00BF3E9F"/>
    <w:rsid w:val="00C06DB1"/>
    <w:rsid w:val="00C10AD4"/>
    <w:rsid w:val="00C1512E"/>
    <w:rsid w:val="00C16782"/>
    <w:rsid w:val="00C33181"/>
    <w:rsid w:val="00C37564"/>
    <w:rsid w:val="00C37A95"/>
    <w:rsid w:val="00C40558"/>
    <w:rsid w:val="00C46479"/>
    <w:rsid w:val="00C47E2D"/>
    <w:rsid w:val="00C505BB"/>
    <w:rsid w:val="00C505BD"/>
    <w:rsid w:val="00C545FB"/>
    <w:rsid w:val="00C84268"/>
    <w:rsid w:val="00C85AAE"/>
    <w:rsid w:val="00C872E1"/>
    <w:rsid w:val="00C91442"/>
    <w:rsid w:val="00CB4447"/>
    <w:rsid w:val="00CB63A9"/>
    <w:rsid w:val="00CC43D8"/>
    <w:rsid w:val="00CD4F25"/>
    <w:rsid w:val="00CD5C72"/>
    <w:rsid w:val="00CE2F23"/>
    <w:rsid w:val="00CE3FB3"/>
    <w:rsid w:val="00CF0EC3"/>
    <w:rsid w:val="00CF2355"/>
    <w:rsid w:val="00CF762F"/>
    <w:rsid w:val="00D05B99"/>
    <w:rsid w:val="00D075FB"/>
    <w:rsid w:val="00D106F7"/>
    <w:rsid w:val="00D12583"/>
    <w:rsid w:val="00D13381"/>
    <w:rsid w:val="00D14ADE"/>
    <w:rsid w:val="00D15183"/>
    <w:rsid w:val="00D27039"/>
    <w:rsid w:val="00D33289"/>
    <w:rsid w:val="00D55A7A"/>
    <w:rsid w:val="00D56B30"/>
    <w:rsid w:val="00D76B0D"/>
    <w:rsid w:val="00D81E34"/>
    <w:rsid w:val="00D86423"/>
    <w:rsid w:val="00D8671B"/>
    <w:rsid w:val="00D97B1A"/>
    <w:rsid w:val="00DA26D8"/>
    <w:rsid w:val="00DA6769"/>
    <w:rsid w:val="00DB4394"/>
    <w:rsid w:val="00DC124A"/>
    <w:rsid w:val="00DC25B1"/>
    <w:rsid w:val="00DD0611"/>
    <w:rsid w:val="00DE1DD5"/>
    <w:rsid w:val="00DF5E2B"/>
    <w:rsid w:val="00E01151"/>
    <w:rsid w:val="00E0329A"/>
    <w:rsid w:val="00E0555C"/>
    <w:rsid w:val="00E05B96"/>
    <w:rsid w:val="00E13565"/>
    <w:rsid w:val="00E15933"/>
    <w:rsid w:val="00E268E2"/>
    <w:rsid w:val="00E33869"/>
    <w:rsid w:val="00E36438"/>
    <w:rsid w:val="00E63185"/>
    <w:rsid w:val="00E810AB"/>
    <w:rsid w:val="00E836DE"/>
    <w:rsid w:val="00E85EB5"/>
    <w:rsid w:val="00E9333F"/>
    <w:rsid w:val="00E93DAA"/>
    <w:rsid w:val="00E94CE9"/>
    <w:rsid w:val="00EA4483"/>
    <w:rsid w:val="00EB03D3"/>
    <w:rsid w:val="00EB0AF4"/>
    <w:rsid w:val="00ED30F5"/>
    <w:rsid w:val="00ED3257"/>
    <w:rsid w:val="00ED4100"/>
    <w:rsid w:val="00ED7195"/>
    <w:rsid w:val="00EE23F2"/>
    <w:rsid w:val="00EE3F8A"/>
    <w:rsid w:val="00EE5789"/>
    <w:rsid w:val="00EF029D"/>
    <w:rsid w:val="00EF2AD2"/>
    <w:rsid w:val="00F008C9"/>
    <w:rsid w:val="00F02221"/>
    <w:rsid w:val="00F04743"/>
    <w:rsid w:val="00F10359"/>
    <w:rsid w:val="00F159F3"/>
    <w:rsid w:val="00F17037"/>
    <w:rsid w:val="00F17F30"/>
    <w:rsid w:val="00F27A91"/>
    <w:rsid w:val="00F3565D"/>
    <w:rsid w:val="00F5261E"/>
    <w:rsid w:val="00F53574"/>
    <w:rsid w:val="00F54793"/>
    <w:rsid w:val="00F614D1"/>
    <w:rsid w:val="00F663C2"/>
    <w:rsid w:val="00F73E3A"/>
    <w:rsid w:val="00F75989"/>
    <w:rsid w:val="00F770A1"/>
    <w:rsid w:val="00F8436E"/>
    <w:rsid w:val="00F855B6"/>
    <w:rsid w:val="00F908AE"/>
    <w:rsid w:val="00F92799"/>
    <w:rsid w:val="00F9607F"/>
    <w:rsid w:val="00FA4C68"/>
    <w:rsid w:val="00FB0936"/>
    <w:rsid w:val="00FB1FDF"/>
    <w:rsid w:val="00FC2564"/>
    <w:rsid w:val="00FC4595"/>
    <w:rsid w:val="00FC7370"/>
    <w:rsid w:val="00FD098C"/>
    <w:rsid w:val="00FE0444"/>
    <w:rsid w:val="00FE10A6"/>
    <w:rsid w:val="00FE28FC"/>
    <w:rsid w:val="00FE4761"/>
    <w:rsid w:val="00FF1B6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B56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5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56F2"/>
    <w:rPr>
      <w:vertAlign w:val="superscript"/>
    </w:rPr>
  </w:style>
  <w:style w:type="paragraph" w:styleId="af1">
    <w:name w:val="List Paragraph"/>
    <w:basedOn w:val="a"/>
    <w:uiPriority w:val="34"/>
    <w:qFormat/>
    <w:rsid w:val="00F8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09B7-EBC4-42ED-A7FC-C53DA68F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Анна Игоревна</dc:creator>
  <cp:lastModifiedBy>Коростелева Анна Игоревна</cp:lastModifiedBy>
  <cp:revision>64</cp:revision>
  <cp:lastPrinted>2021-01-17T23:53:00Z</cp:lastPrinted>
  <dcterms:created xsi:type="dcterms:W3CDTF">2019-03-17T22:08:00Z</dcterms:created>
  <dcterms:modified xsi:type="dcterms:W3CDTF">2021-01-18T02:55:00Z</dcterms:modified>
</cp:coreProperties>
</file>