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 w:val="false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12.05.2022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420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9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8"/>
        <w:gridCol w:w="5456"/>
      </w:tblGrid>
      <w:tr>
        <w:trPr/>
        <w:tc>
          <w:tcPr>
            <w:tcW w:w="425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 внесении изменений в Приказ Департамента социальной политики Чукотского автономного округа от 6 февраля 2014 года № 60</w:t>
            </w:r>
          </w:p>
        </w:tc>
        <w:tc>
          <w:tcPr>
            <w:tcW w:w="545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567"/>
          <w:tab w:val="left" w:pos="735" w:leader="none"/>
        </w:tabs>
        <w:ind w:firstLine="737"/>
        <w:jc w:val="both"/>
        <w:rPr>
          <w:sz w:val="25"/>
          <w:szCs w:val="25"/>
        </w:rPr>
      </w:pPr>
      <w:r>
        <w:rPr>
          <w:sz w:val="25"/>
          <w:szCs w:val="25"/>
        </w:rPr>
        <w:t>В целях уточнения отдельных положений локального акта Департамента социальной политики Чукотского автономного округа, а также в целях совершенствования работы по профилактике коррупционных и иных правонарушений в Департаменте социальной политики Чукотского автономного округа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b/>
          <w:sz w:val="25"/>
          <w:szCs w:val="25"/>
        </w:rPr>
        <w:t>ПРИКАЗЫВАЮ:</w:t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 Внести в Приказ Департамента социальной политики Чукотского автономного округа от 6 февраля 2017 года № 60 «Об утверждении Кодекса этики и служебного поведения государственных гражданских служащих и работников, замещающих должности, не являющиеся должностями государственной гражданской службы Департамента социальной политики Чукотского автономного округа» следующие изменения: 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в преамбуле слова «от 24 декабря 2010 года № 197-рг» заменить словами «от 18 октября 2018 года № 273-рг»;</w:t>
      </w:r>
    </w:p>
    <w:p>
      <w:pPr>
        <w:pStyle w:val="Normal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2) в пункте 2 слова «кадровой работы и государственной службы Департамента социальной политики Чукотского автономного округа (Юрчик О.В.)» заменить словами «дополнительного пенсионного обеспечения и государственной службы Департамента социальной политики Чукотского автономного округа (Матафоновой А.А.)»;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в пункте 1 раздела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приложения слова «от 24 декабря 2010 г. № 197-рг» заменить словами «от 18 октября 2018 года № 273-рг».</w:t>
      </w:r>
    </w:p>
    <w:p>
      <w:pPr>
        <w:pStyle w:val="Normal"/>
        <w:ind w:firstLine="737"/>
        <w:jc w:val="both"/>
        <w:rPr>
          <w:sz w:val="25"/>
          <w:szCs w:val="25"/>
        </w:rPr>
      </w:pPr>
      <w:r>
        <w:rPr>
          <w:sz w:val="25"/>
          <w:szCs w:val="25"/>
        </w:rPr>
        <w:t>2. Приказ Департамента социальной политики Чукотского автономного округа от 19 января 2021 года № 14 «</w:t>
      </w:r>
      <w:r>
        <w:rPr>
          <w:color w:val="000000"/>
          <w:sz w:val="25"/>
          <w:szCs w:val="25"/>
        </w:rPr>
        <w:t>О внесении изменений в приказ Департамента социальной политики Чукотского автономного округа от 6 февраля 2014 года № 60</w:t>
      </w:r>
      <w:r>
        <w:rPr>
          <w:sz w:val="25"/>
          <w:szCs w:val="25"/>
        </w:rPr>
        <w:t xml:space="preserve">» признать утратившим силу.  </w:t>
      </w:r>
    </w:p>
    <w:p>
      <w:pPr>
        <w:pStyle w:val="Normal"/>
        <w:ind w:firstLine="737"/>
        <w:jc w:val="both"/>
        <w:rPr>
          <w:sz w:val="25"/>
          <w:szCs w:val="25"/>
        </w:rPr>
      </w:pPr>
      <w:r>
        <w:rPr>
          <w:sz w:val="25"/>
          <w:szCs w:val="25"/>
        </w:rPr>
        <w:t>3. Действие настоящего приказа распространяется на правоотношения, возникшие с 12 января 2022 года.</w:t>
      </w:r>
    </w:p>
    <w:p>
      <w:pPr>
        <w:pStyle w:val="Normal"/>
        <w:ind w:firstLine="737"/>
        <w:jc w:val="both"/>
        <w:rPr>
          <w:sz w:val="25"/>
          <w:szCs w:val="25"/>
        </w:rPr>
      </w:pPr>
      <w:r>
        <w:rPr>
          <w:sz w:val="25"/>
          <w:szCs w:val="25"/>
        </w:rPr>
        <w:t>4. Контроль за исполнением настоящего приказа оставляю за собой.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  <w:bookmarkStart w:id="0" w:name="_GoBack1"/>
      <w:bookmarkStart w:id="1" w:name="sub_1"/>
      <w:bookmarkStart w:id="2" w:name="_GoBack1"/>
      <w:bookmarkStart w:id="3" w:name="sub_1"/>
      <w:bookmarkEnd w:id="2"/>
      <w:bookmarkEnd w:id="3"/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/>
        <w:t>ставить ЭП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/>
      </w:r>
      <w:bookmarkStart w:id="4" w:name="_GoBack"/>
      <w:bookmarkStart w:id="5" w:name="_GoBack"/>
      <w:bookmarkEnd w:id="5"/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454" w:top="511" w:footer="283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4d5b9c"/>
    <w:pPr>
      <w:keepNext w:val="true"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next w:val="Normal"/>
    <w:link w:val="2"/>
    <w:qFormat/>
    <w:rsid w:val="008613d5"/>
    <w:pPr>
      <w:keepNext w:val="true"/>
      <w:outlineLvl w:val="1"/>
    </w:pPr>
    <w:rPr>
      <w:sz w:val="28"/>
      <w:szCs w:val="20"/>
    </w:rPr>
  </w:style>
  <w:style w:type="paragraph" w:styleId="3" w:customStyle="1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next w:val="Normal"/>
    <w:link w:val="8"/>
    <w:qFormat/>
    <w:rsid w:val="008613d5"/>
    <w:pPr>
      <w:keepNext w:val="true"/>
      <w:outlineLvl w:val="7"/>
    </w:pPr>
    <w:rPr>
      <w:sz w:val="26"/>
      <w:szCs w:val="20"/>
    </w:rPr>
  </w:style>
  <w:style w:type="paragraph" w:styleId="9" w:customStyle="1">
    <w:name w:val="Heading 9"/>
    <w:basedOn w:val="Normal"/>
    <w:next w:val="Normal"/>
    <w:link w:val="9"/>
    <w:qFormat/>
    <w:rsid w:val="008613d5"/>
    <w:pPr>
      <w:keepNext w:val="true"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4c2aa2"/>
    <w:rPr>
      <w:rFonts w:eastAsia="Times New Roman" w:cs="Times New Roman"/>
    </w:rPr>
  </w:style>
  <w:style w:type="character" w:styleId="ListLabel2" w:customStyle="1">
    <w:name w:val="ListLabel 2"/>
    <w:qFormat/>
    <w:rsid w:val="004c2aa2"/>
    <w:rPr>
      <w:rFonts w:eastAsia="Times New Roman" w:cs="Times New Roman"/>
    </w:rPr>
  </w:style>
  <w:style w:type="character" w:styleId="ListLabel3" w:customStyle="1">
    <w:name w:val="ListLabel 3"/>
    <w:qFormat/>
    <w:rsid w:val="004c2aa2"/>
    <w:rPr>
      <w:rFonts w:cs="Courier New"/>
    </w:rPr>
  </w:style>
  <w:style w:type="character" w:styleId="ListLabel4" w:customStyle="1">
    <w:name w:val="ListLabel 4"/>
    <w:qFormat/>
    <w:rsid w:val="004c2aa2"/>
    <w:rPr>
      <w:rFonts w:cs="Courier New"/>
    </w:rPr>
  </w:style>
  <w:style w:type="character" w:styleId="ListLabel5" w:customStyle="1">
    <w:name w:val="ListLabel 5"/>
    <w:qFormat/>
    <w:rsid w:val="004c2aa2"/>
    <w:rPr>
      <w:rFonts w:cs="Courier New"/>
    </w:rPr>
  </w:style>
  <w:style w:type="character" w:styleId="ListLabel6" w:customStyle="1">
    <w:name w:val="ListLabel 6"/>
    <w:qFormat/>
    <w:rsid w:val="004c2aa2"/>
    <w:rPr>
      <w:rFonts w:cs="Courier New"/>
    </w:rPr>
  </w:style>
  <w:style w:type="character" w:styleId="ListLabel7" w:customStyle="1">
    <w:name w:val="ListLabel 7"/>
    <w:qFormat/>
    <w:rsid w:val="004c2aa2"/>
    <w:rPr>
      <w:rFonts w:cs="Courier New"/>
    </w:rPr>
  </w:style>
  <w:style w:type="character" w:styleId="ListLabel8" w:customStyle="1">
    <w:name w:val="ListLabel 8"/>
    <w:qFormat/>
    <w:rsid w:val="004c2aa2"/>
    <w:rPr>
      <w:rFonts w:cs="Courier New"/>
    </w:rPr>
  </w:style>
  <w:style w:type="character" w:styleId="ListLabel9" w:customStyle="1">
    <w:name w:val="ListLabel 9"/>
    <w:qFormat/>
    <w:rsid w:val="004c2aa2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4c2aa2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4c2aa2"/>
    <w:rPr>
      <w:rFonts w:eastAsia="Times New Roman" w:cs="Times New Roman"/>
    </w:rPr>
  </w:style>
  <w:style w:type="character" w:styleId="ListLabel12" w:customStyle="1">
    <w:name w:val="ListLabel 12"/>
    <w:qFormat/>
    <w:rsid w:val="004c2aa2"/>
    <w:rPr>
      <w:rFonts w:eastAsia="Times New Roman" w:cs="Times New Roman"/>
    </w:rPr>
  </w:style>
  <w:style w:type="paragraph" w:styleId="Style14" w:customStyle="1">
    <w:name w:val="Заголовок"/>
    <w:next w:val="Style15"/>
    <w:qFormat/>
    <w:rsid w:val="004862ab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rsid w:val="004c2aa2"/>
    <w:pPr/>
    <w:rPr>
      <w:rFonts w:cs="Mangal"/>
    </w:rPr>
  </w:style>
  <w:style w:type="paragraph" w:styleId="Style17" w:customStyle="1">
    <w:name w:val="Caption"/>
    <w:basedOn w:val="Normal"/>
    <w:qFormat/>
    <w:rsid w:val="004c2aa2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c2aa2"/>
    <w:pPr>
      <w:suppressLineNumbers/>
    </w:pPr>
    <w:rPr>
      <w:rFonts w:cs="Mangal"/>
    </w:rPr>
  </w:style>
  <w:style w:type="paragraph" w:styleId="Style19" w:customStyle="1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5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Style27" w:customStyle="1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LibreOffice/6.2.2.2$Windows_X86_64 LibreOffice_project/2b840030fec2aae0fd2658d8d4f9548af4e3518d</Application>
  <Pages>1</Pages>
  <Words>252</Words>
  <Characters>1613</Characters>
  <CharactersWithSpaces>1856</CharactersWithSpaces>
  <Paragraphs>19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2022-05-12T12:38:57Z</cp:lastPrinted>
  <dcterms:modified xsi:type="dcterms:W3CDTF">2022-05-12T14:43:25Z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