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</w:p>
    <w:p>
      <w:pPr>
        <w:jc w:val="center"/>
        <w:rPr>
          <w:color w:val="000000"/>
        </w:rPr>
      </w:pPr>
      <w:r>
        <w:drawing>
          <wp:inline distT="0" distB="0" distL="0" distR="9525">
            <wp:extent cx="5810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tbl>
      <w:tblPr>
        <w:tblStyle w:val="16"/>
        <w:tblW w:w="99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5" w:type="dxa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8"/>
        <w:rPr>
          <w:b w:val="0"/>
          <w:szCs w:val="28"/>
          <w:lang w:val="ru-RU"/>
        </w:rPr>
      </w:pPr>
    </w:p>
    <w:p>
      <w:pPr>
        <w:pStyle w:val="18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tbl>
      <w:tblPr>
        <w:tblStyle w:val="16"/>
        <w:tblW w:w="9692" w:type="dxa"/>
        <w:tblInd w:w="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261"/>
        <w:gridCol w:w="235"/>
        <w:gridCol w:w="608"/>
        <w:gridCol w:w="1126"/>
        <w:gridCol w:w="3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shd w:val="clear" w:color="auto" w:fill="auto"/>
            <w:vAlign w:val="center"/>
          </w:tcPr>
          <w:p>
            <w:pPr>
              <w:pStyle w:val="47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pStyle w:val="47"/>
              <w:tabs>
                <w:tab w:val="left" w:pos="708"/>
              </w:tabs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>30.12.2019</w:t>
            </w:r>
          </w:p>
        </w:tc>
        <w:tc>
          <w:tcPr>
            <w:tcW w:w="235" w:type="dxa"/>
            <w:shd w:val="clear" w:color="auto" w:fill="auto"/>
            <w:vAlign w:val="center"/>
          </w:tcPr>
          <w:p>
            <w:pPr>
              <w:pStyle w:val="47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pStyle w:val="47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pStyle w:val="47"/>
              <w:tabs>
                <w:tab w:val="left" w:pos="708"/>
              </w:tabs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>1604</w:t>
            </w:r>
          </w:p>
        </w:tc>
        <w:tc>
          <w:tcPr>
            <w:tcW w:w="3858" w:type="dxa"/>
            <w:shd w:val="clear" w:color="auto" w:fill="auto"/>
            <w:vAlign w:val="center"/>
          </w:tcPr>
          <w:p>
            <w:pPr>
              <w:pStyle w:val="47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jc w:val="both"/>
        <w:outlineLvl w:val="2"/>
        <w:rPr>
          <w:sz w:val="26"/>
          <w:szCs w:val="26"/>
        </w:rPr>
      </w:pPr>
    </w:p>
    <w:p>
      <w:pPr>
        <w:jc w:val="both"/>
        <w:outlineLvl w:val="2"/>
        <w:rPr>
          <w:sz w:val="26"/>
          <w:szCs w:val="26"/>
        </w:rPr>
      </w:pPr>
    </w:p>
    <w:tbl>
      <w:tblPr>
        <w:tblStyle w:val="17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5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плана мероприятий («дорожная карта») по снижению рисков нарушения антимонопольного законодательства Департамента социальной политики Чукотского автономного округа 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>
      <w:pPr>
        <w:jc w:val="both"/>
        <w:outlineLvl w:val="2"/>
        <w:rPr>
          <w:sz w:val="28"/>
          <w:szCs w:val="28"/>
        </w:rPr>
      </w:pPr>
    </w:p>
    <w:p>
      <w:pPr>
        <w:keepNext/>
        <w:overflowPunct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и 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 </w:t>
      </w:r>
    </w:p>
    <w:p>
      <w:pPr>
        <w:jc w:val="both"/>
        <w:rPr>
          <w:sz w:val="28"/>
          <w:szCs w:val="28"/>
        </w:rPr>
      </w:pPr>
    </w:p>
    <w:p>
      <w:pPr>
        <w:pStyle w:val="10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>
      <w:pPr>
        <w:jc w:val="both"/>
        <w:rPr>
          <w:sz w:val="26"/>
          <w:szCs w:val="26"/>
        </w:rPr>
      </w:pPr>
      <w:bookmarkStart w:id="0" w:name="sub_1"/>
      <w:bookmarkEnd w:id="0"/>
    </w:p>
    <w:p>
      <w:pPr>
        <w:keepNext/>
        <w:numPr>
          <w:ilvl w:val="0"/>
          <w:numId w:val="1"/>
        </w:numPr>
        <w:tabs>
          <w:tab w:val="left" w:pos="851"/>
        </w:tabs>
        <w:overflowPunct w:val="0"/>
        <w:ind w:left="0" w:firstLine="7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мероприятий («дорожную карту») по снижению рисков нарушения антимонопольного законодательства Департамента социальной политики Чукотского автономного округа </w:t>
      </w:r>
      <w:r>
        <w:rPr>
          <w:bCs/>
          <w:sz w:val="26"/>
          <w:szCs w:val="26"/>
        </w:rPr>
        <w:t>согласно приложению к настоящему приказу</w:t>
      </w:r>
      <w:r>
        <w:rPr>
          <w:sz w:val="26"/>
          <w:szCs w:val="26"/>
        </w:rPr>
        <w:t>.</w:t>
      </w:r>
    </w:p>
    <w:p>
      <w:pPr>
        <w:keepNext/>
        <w:numPr>
          <w:ilvl w:val="0"/>
          <w:numId w:val="1"/>
        </w:numPr>
        <w:tabs>
          <w:tab w:val="left" w:pos="851"/>
        </w:tabs>
        <w:overflowPunct w:val="0"/>
        <w:ind w:left="0" w:firstLine="662"/>
        <w:jc w:val="both"/>
        <w:rPr>
          <w:sz w:val="26"/>
          <w:szCs w:val="26"/>
        </w:rPr>
      </w:pPr>
      <w:r>
        <w:rPr>
          <w:sz w:val="26"/>
          <w:szCs w:val="26"/>
        </w:rPr>
        <w:t>Отделу административно-организационной и правовой работы Департамента социальной политики Чукотского автономного округа обеспечить ознакомление начальников структурных подразделений и самостоятельных отделов Департамента с настоящим приказом.</w:t>
      </w:r>
    </w:p>
    <w:p>
      <w:pPr>
        <w:keepNext/>
        <w:numPr>
          <w:ilvl w:val="0"/>
          <w:numId w:val="1"/>
        </w:numPr>
        <w:tabs>
          <w:tab w:val="left" w:pos="851"/>
        </w:tabs>
        <w:overflowPunct w:val="0"/>
        <w:ind w:left="0" w:firstLine="717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/>
    <w:p/>
    <w:p/>
    <w:p/>
    <w:p/>
    <w:p/>
    <w:p/>
    <w:p/>
    <w:p/>
    <w:p/>
    <w:p>
      <w:pPr>
        <w:sectPr>
          <w:headerReference r:id="rId3" w:type="default"/>
          <w:footerReference r:id="rId4" w:type="default"/>
          <w:pgSz w:w="11906" w:h="16838"/>
          <w:pgMar w:top="766" w:right="709" w:bottom="1134" w:left="1418" w:header="709" w:footer="709" w:gutter="0"/>
          <w:cols w:space="720" w:num="1"/>
          <w:formProt w:val="0"/>
          <w:docGrid w:linePitch="360" w:charSpace="0"/>
        </w:sectPr>
      </w:pPr>
    </w:p>
    <w:tbl>
      <w:tblPr>
        <w:tblStyle w:val="17"/>
        <w:tblW w:w="15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6"/>
        <w:gridCol w:w="5118"/>
        <w:gridCol w:w="5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57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57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57"/>
              <w:keepNext/>
              <w:widowControl/>
              <w:overflowPunct w:val="0"/>
              <w:ind w:left="238" w:right="149" w:hanging="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УТВЕРЖДЕНО</w:t>
            </w:r>
          </w:p>
          <w:p>
            <w:pPr>
              <w:pStyle w:val="57"/>
              <w:keepNext/>
              <w:widowControl/>
              <w:overflowPunct w:val="0"/>
              <w:ind w:left="238" w:right="149" w:hanging="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Приказом Департамента социальной политики Чукотского автономного округа</w:t>
            </w:r>
          </w:p>
          <w:p>
            <w:pPr>
              <w:pStyle w:val="57"/>
              <w:keepNext/>
              <w:widowControl/>
              <w:overflowPunct w:val="0"/>
              <w:ind w:left="238" w:right="149" w:hanging="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«__» _______ 2019 № ___</w:t>
            </w:r>
          </w:p>
          <w:p>
            <w:pPr>
              <w:pStyle w:val="57"/>
              <w:keepNext/>
              <w:widowControl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>
      <w:pPr>
        <w:pStyle w:val="57"/>
        <w:keepNext/>
        <w:widowControl/>
        <w:overflowPunct w:val="0"/>
        <w:rPr>
          <w:rFonts w:ascii="Times New Roman" w:hAnsi="Times New Roman" w:cs="Times New Roman"/>
          <w:sz w:val="28"/>
          <w:szCs w:val="28"/>
        </w:rPr>
      </w:pPr>
    </w:p>
    <w:p>
      <w:pPr>
        <w:keepNext/>
        <w:overflowPunct w:val="0"/>
        <w:jc w:val="center"/>
        <w:rPr>
          <w:b/>
          <w:bCs/>
          <w:sz w:val="26"/>
          <w:szCs w:val="26"/>
        </w:rPr>
      </w:pPr>
      <w:bookmarkStart w:id="1" w:name="P32"/>
      <w:bookmarkEnd w:id="1"/>
      <w:r>
        <w:rPr>
          <w:b/>
          <w:bCs/>
          <w:sz w:val="26"/>
          <w:szCs w:val="26"/>
        </w:rPr>
        <w:t>План мероприятий («дорожная карта») по снижению рисков нарушения антимонопольного законодательства</w:t>
      </w:r>
    </w:p>
    <w:p>
      <w:pPr>
        <w:keepNext/>
        <w:overflowPunct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Департамента социальной политики Чукотского автономного округа</w:t>
      </w:r>
    </w:p>
    <w:p>
      <w:pPr>
        <w:jc w:val="center"/>
        <w:rPr>
          <w:sz w:val="28"/>
          <w:szCs w:val="28"/>
        </w:rPr>
      </w:pPr>
    </w:p>
    <w:tbl>
      <w:tblPr>
        <w:tblStyle w:val="17"/>
        <w:tblW w:w="15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456"/>
        <w:gridCol w:w="3707"/>
        <w:gridCol w:w="2110"/>
        <w:gridCol w:w="1585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№</w:t>
            </w:r>
          </w:p>
        </w:tc>
        <w:tc>
          <w:tcPr>
            <w:tcW w:w="4456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Риск (согласно карте риска)</w:t>
            </w:r>
          </w:p>
        </w:tc>
        <w:tc>
          <w:tcPr>
            <w:tcW w:w="3707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Мероприятия, направленные на минимизацию и устранение рисков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Ответственный исполнитель</w:t>
            </w:r>
          </w:p>
          <w:p>
            <w:pPr>
              <w:keepNext/>
              <w:overflowPunct w:val="0"/>
              <w:jc w:val="center"/>
            </w:pPr>
            <w:r>
              <w:t>(структурного подразделения)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Срок исполнения мероприятия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Ожидаемый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1.</w:t>
            </w:r>
          </w:p>
        </w:tc>
        <w:tc>
          <w:tcPr>
            <w:tcW w:w="4456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ind w:right="161"/>
              <w:jc w:val="both"/>
            </w:pPr>
            <w:r>
              <w:t>- координация деятельности участников закупки;</w:t>
            </w:r>
          </w:p>
          <w:p>
            <w:pPr>
              <w:keepNext/>
              <w:overflowPunct w:val="0"/>
              <w:ind w:right="161"/>
              <w:jc w:val="both"/>
            </w:pPr>
            <w:r>
              <w:t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>
            <w:pPr>
              <w:keepNext/>
              <w:overflowPunct w:val="0"/>
              <w:ind w:right="161"/>
              <w:jc w:val="both"/>
            </w:pPr>
            <w:r>
              <w:t>- 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>
            <w:pPr>
              <w:keepNext/>
              <w:overflowPunct w:val="0"/>
              <w:ind w:right="161"/>
              <w:jc w:val="both"/>
            </w:pPr>
            <w:r>
              <w:t>- нарушение порядка определения победителя закупки;</w:t>
            </w:r>
          </w:p>
          <w:p>
            <w:pPr>
              <w:keepNext/>
              <w:overflowPunct w:val="0"/>
              <w:ind w:right="161"/>
              <w:jc w:val="both"/>
            </w:pPr>
            <w:r>
              <w:t>- нарушение порядка определения начальной (максимальной) цены государственного контракта</w:t>
            </w:r>
          </w:p>
        </w:tc>
        <w:tc>
          <w:tcPr>
            <w:tcW w:w="3707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shd w:val="clear" w:color="auto" w:fill="auto"/>
              <w:tabs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систематическое повышение квалификации работников Департамента (специалистов по закупкам);</w:t>
            </w:r>
          </w:p>
          <w:p>
            <w:pPr>
              <w:pStyle w:val="60"/>
              <w:keepNext/>
              <w:shd w:val="clear" w:color="auto" w:fill="auto"/>
              <w:tabs>
                <w:tab w:val="left" w:pos="240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и анализ изменений, вносимых в законодательство о контрактной системе в сфере закупок;</w:t>
            </w:r>
          </w:p>
          <w:p>
            <w:pPr>
              <w:pStyle w:val="60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480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применения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480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должностные регламенты в части требований о знании и изучении антимонопольного законодательства и изменений, вносимых в законодательство о контрактной системе в сфере закупок;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мер, исключающих доступ хозяйствующих субъектов к информации в приоритетном порядке;</w:t>
            </w:r>
          </w:p>
          <w:p>
            <w:pPr>
              <w:pStyle w:val="60"/>
              <w:keepNext/>
              <w:shd w:val="clear" w:color="auto" w:fill="auto"/>
              <w:tabs>
                <w:tab w:val="left" w:pos="240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принятие мер по недопущению конфликта интересов,  согласованных действий, ущемляющих права хозяйствующих субъектов;</w:t>
            </w:r>
          </w:p>
          <w:p>
            <w:pPr>
              <w:pStyle w:val="60"/>
              <w:keepNext/>
              <w:shd w:val="clear" w:color="auto" w:fill="auto"/>
              <w:tabs>
                <w:tab w:val="left" w:pos="240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со стороны руководства за соблюдением требований законодательства в сфере закупок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Отдел административно-организационной и правовой работы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рисков нарушения 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работников Департамента обучения по программе повышения квалификации и профессиональной переподготовки;</w:t>
            </w:r>
          </w:p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контроля со стороны руководства за соблюдением требований законодательства в сфере закупок.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2.</w:t>
            </w:r>
          </w:p>
        </w:tc>
        <w:tc>
          <w:tcPr>
            <w:tcW w:w="4456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согласованные действия;</w:t>
            </w:r>
          </w:p>
          <w:p>
            <w:pPr>
              <w:pStyle w:val="6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хозяйствующим субъектам доступа к информации в приоритетном порядке; </w:t>
            </w:r>
          </w:p>
          <w:p>
            <w:pPr>
              <w:pStyle w:val="6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ненадлежащая подготовка документов.</w:t>
            </w:r>
          </w:p>
        </w:tc>
        <w:tc>
          <w:tcPr>
            <w:tcW w:w="3707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должностные регламенты в части требований о знании и изучении антимонопольного законодательства и нормативных правовых актов, касающихся порядка подготовки заключений о целесообразности привлечения и использования иностранных работников: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применения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со стороны начальника Управления за соблюдением требований нормативных правовых актов, определяющих порядок подготовки заключений о целесообразности привлечения и использования иностранных работников;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информирование хозяйствующих субъектов об изменениях законодательства посредством размещения информации на официальном сайте Департамента;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мер, исключающих доступ хозяйствующих субъектов к информации в приоритетном порядке;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недопущению конфликта интересов,  согласованных действий, ущемляющих права хозяйствующих субъектов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shd w:val="clear" w:color="auto" w:fill="auto"/>
              <w:tabs>
                <w:tab w:val="left" w:pos="240"/>
              </w:tabs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занятости населения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shd w:val="clear" w:color="auto" w:fill="auto"/>
              <w:tabs>
                <w:tab w:val="left" w:pos="0"/>
                <w:tab w:val="left" w:pos="240"/>
                <w:tab w:val="left" w:pos="480"/>
              </w:tabs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рисков нарушения 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контроля со стороны руководства.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3.</w:t>
            </w:r>
          </w:p>
        </w:tc>
        <w:tc>
          <w:tcPr>
            <w:tcW w:w="4456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дискриминационных или преимущественных условий для отдельных хозяйствующих субъектов;</w:t>
            </w:r>
          </w:p>
          <w:p>
            <w:pPr>
              <w:pStyle w:val="6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>
            <w:pPr>
              <w:pStyle w:val="6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ограничений прав граждан на выбор хозяйствующего субьекта при получении мер социальной поддержки в форме денежной выплаты</w:t>
            </w:r>
          </w:p>
        </w:tc>
        <w:tc>
          <w:tcPr>
            <w:tcW w:w="3707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должностные регламенты в части требований о знании и изучении антимонопольного законодательства и изменений, вносимых в законодательство о социальной защиты и социального обслуживания граждан (инвалидов), в сфере занятости населения;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проектов нормативно правовых актов на соответствие требованиям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проектов нормативных правовых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актов, действующих нормативных правовых актов на официальном сайте Департамента для проведения анализа на предмет соответствия их антимонопольному законодательству;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оценка поступивших от организаций и граждан замечаний и предложений по проекту нормативного правового акта, по действующему нормативному правовому акту о несоответствии их антимонопольному законодательству;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повышение квалификации работников, осуществляющих разработку нормативных правовых актов;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изменений, вносимых в законодательство в сфере социальной защиты и социального обслуживания граждан (инвалидов), в сфере занятости населения;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применения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при подготовке нормативных правовых актов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занятости населения; </w:t>
            </w:r>
          </w:p>
          <w:p>
            <w:pPr>
              <w:pStyle w:val="60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</w:p>
          <w:p>
            <w:pPr>
              <w:pStyle w:val="60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поддержки населения; </w:t>
            </w:r>
          </w:p>
          <w:p>
            <w:pPr>
              <w:pStyle w:val="60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</w:p>
          <w:p>
            <w:pPr>
              <w:pStyle w:val="60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</w:t>
            </w:r>
          </w:p>
          <w:p>
            <w:pPr>
              <w:pStyle w:val="60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</w:p>
          <w:p>
            <w:pPr>
              <w:pStyle w:val="60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административно-организационной и правовой работы</w:t>
            </w:r>
          </w:p>
          <w:p>
            <w:pPr>
              <w:pStyle w:val="60"/>
              <w:keepNext/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shd w:val="clear" w:color="auto" w:fill="auto"/>
              <w:tabs>
                <w:tab w:val="left" w:pos="0"/>
                <w:tab w:val="left" w:pos="240"/>
                <w:tab w:val="left" w:pos="480"/>
              </w:tabs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рисков нарушения 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контроля со стороны руководства.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4.</w:t>
            </w:r>
          </w:p>
        </w:tc>
        <w:tc>
          <w:tcPr>
            <w:tcW w:w="4456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заведомо ложных сведений в процессуальные документы при производстве административного дела;</w:t>
            </w:r>
          </w:p>
          <w:p>
            <w:pPr>
              <w:pStyle w:val="6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протокола (предостережения) на заведомо неуполномоченного представителя юридического лица (индивидуального предпринимателя);</w:t>
            </w:r>
          </w:p>
          <w:p>
            <w:pPr>
              <w:pStyle w:val="6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протокола (предостережения) с нарушением установленного срока или не направление протокола (предостережения) в целях последующей их отмены .</w:t>
            </w:r>
          </w:p>
        </w:tc>
        <w:tc>
          <w:tcPr>
            <w:tcW w:w="3707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изменений в должностные регламенты в части требований о знании и изучении антимонопольного законодательства и КоАП РФ;</w:t>
            </w:r>
          </w:p>
          <w:p>
            <w:pPr>
              <w:pStyle w:val="60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и анализ применения антимонопольного законодательства;</w:t>
            </w:r>
          </w:p>
          <w:p>
            <w:pPr>
              <w:pStyle w:val="60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 мер по недопущению конфликта интересов, согласованных действий, ущемляющих права хозяйствующих субъектов;</w:t>
            </w:r>
          </w:p>
          <w:p>
            <w:pPr>
              <w:pStyle w:val="60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квалификации должностных лиц;</w:t>
            </w:r>
          </w:p>
          <w:p>
            <w:pPr>
              <w:pStyle w:val="60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за соблюдением требований установленных КоАП РФ;</w:t>
            </w:r>
          </w:p>
          <w:p>
            <w:pPr>
              <w:pStyle w:val="60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и анализ изменений КоАП РФ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занятости населения</w:t>
            </w:r>
          </w:p>
          <w:p>
            <w:pPr>
              <w:pStyle w:val="60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</w:p>
          <w:p>
            <w:pPr>
              <w:pStyle w:val="60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административно-организационной и правовой работы</w:t>
            </w:r>
          </w:p>
          <w:p>
            <w:pPr>
              <w:pStyle w:val="60"/>
              <w:keepNext/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shd w:val="clear" w:color="auto" w:fill="auto"/>
              <w:tabs>
                <w:tab w:val="left" w:pos="0"/>
                <w:tab w:val="left" w:pos="240"/>
                <w:tab w:val="left" w:pos="480"/>
              </w:tabs>
              <w:overflowPunct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рисков нарушения 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законодательства;</w:t>
            </w:r>
          </w:p>
          <w:p>
            <w:pPr>
              <w:pStyle w:val="60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контроля со стороны руководства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/>
    <w:sectPr>
      <w:headerReference r:id="rId5" w:type="default"/>
      <w:footerReference r:id="rId6" w:type="default"/>
      <w:pgSz w:w="16838" w:h="11906" w:orient="landscape"/>
      <w:pgMar w:top="1417" w:right="567" w:bottom="766" w:left="1134" w:header="709" w:footer="709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roman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57A"/>
    <w:multiLevelType w:val="multilevel"/>
    <w:tmpl w:val="0B1B357A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FF4316B"/>
    <w:multiLevelType w:val="multilevel"/>
    <w:tmpl w:val="0FF4316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E2B0285"/>
    <w:multiLevelType w:val="multilevel"/>
    <w:tmpl w:val="1E2B0285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33F21101"/>
    <w:multiLevelType w:val="multilevel"/>
    <w:tmpl w:val="33F21101"/>
    <w:lvl w:ilvl="0" w:tentative="0">
      <w:start w:val="1"/>
      <w:numFmt w:val="decimal"/>
      <w:lvlText w:val="%1."/>
      <w:lvlJc w:val="left"/>
      <w:pPr>
        <w:ind w:left="1146" w:hanging="360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2A20CA4"/>
    <w:multiLevelType w:val="multilevel"/>
    <w:tmpl w:val="42A20CA4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86"/>
    <w:rsid w:val="00155F02"/>
    <w:rsid w:val="001E724B"/>
    <w:rsid w:val="00263E1D"/>
    <w:rsid w:val="003F1C62"/>
    <w:rsid w:val="00750E39"/>
    <w:rsid w:val="00774E86"/>
    <w:rsid w:val="00C51B8D"/>
    <w:rsid w:val="281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Tahoma" w:hAnsi="Tahoma"/>
      <w:sz w:val="16"/>
      <w:szCs w:val="16"/>
      <w:lang w:val="zh-CN" w:eastAsia="zh-CN"/>
    </w:rPr>
  </w:style>
  <w:style w:type="paragraph" w:styleId="3">
    <w:name w:val="Body Text Indent 3"/>
    <w:basedOn w:val="1"/>
    <w:qFormat/>
    <w:uiPriority w:val="0"/>
    <w:pPr>
      <w:spacing w:after="120"/>
      <w:ind w:left="283"/>
    </w:pPr>
    <w:rPr>
      <w:sz w:val="16"/>
      <w:szCs w:val="16"/>
      <w:lang w:val="zh-CN" w:eastAsia="zh-CN"/>
    </w:rPr>
  </w:style>
  <w:style w:type="paragraph" w:styleId="4">
    <w:name w:val="caption"/>
    <w:basedOn w:val="1"/>
    <w:next w:val="1"/>
    <w:qFormat/>
    <w:uiPriority w:val="0"/>
    <w:pPr>
      <w:jc w:val="center"/>
    </w:pPr>
    <w:rPr>
      <w:b/>
      <w:sz w:val="28"/>
      <w:szCs w:val="20"/>
    </w:rPr>
  </w:style>
  <w:style w:type="paragraph" w:styleId="5">
    <w:name w:val="annotation text"/>
    <w:basedOn w:val="1"/>
    <w:qFormat/>
    <w:uiPriority w:val="0"/>
    <w:rPr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Mangal"/>
    </w:rPr>
  </w:style>
  <w:style w:type="paragraph" w:styleId="9">
    <w:name w:val="index 1"/>
    <w:basedOn w:val="1"/>
    <w:next w:val="1"/>
    <w:semiHidden/>
    <w:unhideWhenUsed/>
    <w:uiPriority w:val="0"/>
  </w:style>
  <w:style w:type="paragraph" w:styleId="10">
    <w:name w:val="Body Text Indent"/>
    <w:basedOn w:val="1"/>
    <w:qFormat/>
    <w:uiPriority w:val="0"/>
    <w:pPr>
      <w:spacing w:line="360" w:lineRule="auto"/>
      <w:ind w:firstLine="630"/>
      <w:jc w:val="both"/>
      <w:outlineLvl w:val="2"/>
    </w:pPr>
    <w:rPr>
      <w:szCs w:val="22"/>
    </w:rPr>
  </w:style>
  <w:style w:type="paragraph" w:styleId="11">
    <w:name w:val="Title"/>
    <w:basedOn w:val="1"/>
    <w:qFormat/>
    <w:uiPriority w:val="0"/>
    <w:pPr>
      <w:jc w:val="center"/>
    </w:pPr>
    <w:rPr>
      <w:sz w:val="28"/>
      <w:szCs w:val="20"/>
    </w:rPr>
  </w:style>
  <w:style w:type="paragraph" w:styleId="12">
    <w:name w:val="List"/>
    <w:basedOn w:val="7"/>
    <w:qFormat/>
    <w:uiPriority w:val="0"/>
    <w:rPr>
      <w:rFonts w:cs="Mangal"/>
    </w:rPr>
  </w:style>
  <w:style w:type="paragraph" w:styleId="13">
    <w:name w:val="Body Text 3"/>
    <w:basedOn w:val="1"/>
    <w:qFormat/>
    <w:uiPriority w:val="0"/>
    <w:pPr>
      <w:spacing w:after="120"/>
    </w:pPr>
    <w:rPr>
      <w:sz w:val="16"/>
      <w:szCs w:val="16"/>
      <w:lang w:val="zh-CN" w:eastAsia="zh-CN"/>
    </w:rPr>
  </w:style>
  <w:style w:type="character" w:styleId="15">
    <w:name w:val="page number"/>
    <w:basedOn w:val="14"/>
    <w:qFormat/>
    <w:uiPriority w:val="0"/>
  </w:style>
  <w:style w:type="table" w:styleId="17">
    <w:name w:val="Table Grid"/>
    <w:basedOn w:val="1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1"/>
    <w:basedOn w:val="1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customStyle="1" w:styleId="19">
    <w:name w:val="Заголовок 21"/>
    <w:basedOn w:val="1"/>
    <w:link w:val="30"/>
    <w:qFormat/>
    <w:uiPriority w:val="0"/>
    <w:pPr>
      <w:keepNext/>
      <w:outlineLvl w:val="1"/>
    </w:pPr>
    <w:rPr>
      <w:sz w:val="28"/>
      <w:szCs w:val="20"/>
      <w:lang w:val="zh-CN" w:eastAsia="zh-CN"/>
    </w:rPr>
  </w:style>
  <w:style w:type="paragraph" w:customStyle="1" w:styleId="20">
    <w:name w:val="Заголовок 31"/>
    <w:basedOn w:val="1"/>
    <w:link w:val="32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21">
    <w:name w:val="Заголовок 41"/>
    <w:basedOn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22">
    <w:name w:val="Заголовок 71"/>
    <w:basedOn w:val="1"/>
    <w:link w:val="34"/>
    <w:qFormat/>
    <w:uiPriority w:val="0"/>
    <w:pPr>
      <w:spacing w:before="240" w:after="60"/>
      <w:outlineLvl w:val="6"/>
    </w:pPr>
    <w:rPr>
      <w:lang w:val="zh-CN" w:eastAsia="zh-CN"/>
    </w:rPr>
  </w:style>
  <w:style w:type="paragraph" w:customStyle="1" w:styleId="23">
    <w:name w:val="Заголовок 81"/>
    <w:basedOn w:val="1"/>
    <w:link w:val="35"/>
    <w:qFormat/>
    <w:uiPriority w:val="0"/>
    <w:pPr>
      <w:keepNext/>
      <w:outlineLvl w:val="7"/>
    </w:pPr>
    <w:rPr>
      <w:sz w:val="26"/>
      <w:szCs w:val="20"/>
      <w:lang w:val="zh-CN" w:eastAsia="zh-CN"/>
    </w:rPr>
  </w:style>
  <w:style w:type="paragraph" w:customStyle="1" w:styleId="24">
    <w:name w:val="Заголовок 91"/>
    <w:basedOn w:val="1"/>
    <w:link w:val="28"/>
    <w:qFormat/>
    <w:uiPriority w:val="0"/>
    <w:pPr>
      <w:keepNext/>
      <w:jc w:val="right"/>
      <w:outlineLvl w:val="8"/>
    </w:pPr>
    <w:rPr>
      <w:sz w:val="26"/>
      <w:lang w:val="zh-CN" w:eastAsia="zh-CN"/>
    </w:rPr>
  </w:style>
  <w:style w:type="character" w:customStyle="1" w:styleId="25">
    <w:name w:val="Интернет-ссылка"/>
    <w:qFormat/>
    <w:uiPriority w:val="0"/>
    <w:rPr>
      <w:color w:val="0000FF"/>
      <w:u w:val="single"/>
    </w:rPr>
  </w:style>
  <w:style w:type="character" w:customStyle="1" w:styleId="26">
    <w:name w:val="Гипертекстовая ссылка"/>
    <w:qFormat/>
    <w:uiPriority w:val="99"/>
    <w:rPr>
      <w:color w:val="008000"/>
    </w:rPr>
  </w:style>
  <w:style w:type="character" w:customStyle="1" w:styleId="27">
    <w:name w:val="Цветовое выделение"/>
    <w:qFormat/>
    <w:uiPriority w:val="99"/>
    <w:rPr>
      <w:b/>
      <w:bCs/>
      <w:color w:val="000080"/>
    </w:rPr>
  </w:style>
  <w:style w:type="character" w:customStyle="1" w:styleId="28">
    <w:name w:val="Текст выноски Знак"/>
    <w:link w:val="24"/>
    <w:qFormat/>
    <w:uiPriority w:val="0"/>
    <w:rPr>
      <w:rFonts w:ascii="Tahoma" w:hAnsi="Tahoma" w:cs="Tahoma"/>
      <w:sz w:val="16"/>
      <w:szCs w:val="16"/>
    </w:rPr>
  </w:style>
  <w:style w:type="character" w:customStyle="1" w:styleId="29">
    <w:name w:val="Не вступил в силу"/>
    <w:qFormat/>
    <w:uiPriority w:val="0"/>
    <w:rPr>
      <w:color w:val="008080"/>
    </w:rPr>
  </w:style>
  <w:style w:type="character" w:customStyle="1" w:styleId="30">
    <w:name w:val="Заголовок 1 Знак"/>
    <w:link w:val="19"/>
    <w:qFormat/>
    <w:uiPriority w:val="0"/>
    <w:rPr>
      <w:b/>
      <w:sz w:val="28"/>
    </w:rPr>
  </w:style>
  <w:style w:type="character" w:customStyle="1" w:styleId="31">
    <w:name w:val="Font Style4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32">
    <w:name w:val="Заголовок 2 Знак"/>
    <w:link w:val="20"/>
    <w:qFormat/>
    <w:uiPriority w:val="0"/>
    <w:rPr>
      <w:sz w:val="28"/>
    </w:rPr>
  </w:style>
  <w:style w:type="character" w:customStyle="1" w:styleId="33">
    <w:name w:val="Заголовок 7 Знак"/>
    <w:qFormat/>
    <w:uiPriority w:val="0"/>
    <w:rPr>
      <w:sz w:val="24"/>
      <w:szCs w:val="24"/>
    </w:rPr>
  </w:style>
  <w:style w:type="character" w:customStyle="1" w:styleId="34">
    <w:name w:val="Заголовок 8 Знак"/>
    <w:link w:val="22"/>
    <w:qFormat/>
    <w:uiPriority w:val="0"/>
    <w:rPr>
      <w:sz w:val="26"/>
    </w:rPr>
  </w:style>
  <w:style w:type="character" w:customStyle="1" w:styleId="35">
    <w:name w:val="Заголовок 9 Знак"/>
    <w:link w:val="23"/>
    <w:qFormat/>
    <w:uiPriority w:val="0"/>
    <w:rPr>
      <w:sz w:val="26"/>
      <w:szCs w:val="24"/>
    </w:rPr>
  </w:style>
  <w:style w:type="character" w:customStyle="1" w:styleId="36">
    <w:name w:val="Нижний колонтитул Знак"/>
    <w:qFormat/>
    <w:uiPriority w:val="0"/>
    <w:rPr>
      <w:sz w:val="24"/>
      <w:szCs w:val="24"/>
    </w:rPr>
  </w:style>
  <w:style w:type="character" w:customStyle="1" w:styleId="37">
    <w:name w:val="Основной текст с отступом 3 Знак"/>
    <w:qFormat/>
    <w:uiPriority w:val="0"/>
    <w:rPr>
      <w:sz w:val="16"/>
      <w:szCs w:val="16"/>
    </w:rPr>
  </w:style>
  <w:style w:type="character" w:customStyle="1" w:styleId="38">
    <w:name w:val="Текст примечания Знак"/>
    <w:basedOn w:val="14"/>
    <w:link w:val="39"/>
    <w:qFormat/>
    <w:uiPriority w:val="0"/>
  </w:style>
  <w:style w:type="paragraph" w:customStyle="1" w:styleId="39">
    <w:name w:val="Обычный1"/>
    <w:link w:val="38"/>
    <w:qFormat/>
    <w:uiPriority w:val="0"/>
    <w:pPr>
      <w:widowControl w:val="0"/>
      <w:spacing w:line="300" w:lineRule="auto"/>
      <w:ind w:firstLine="520"/>
      <w:jc w:val="both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40">
    <w:name w:val="Основной текст 3 Знак"/>
    <w:qFormat/>
    <w:uiPriority w:val="0"/>
    <w:rPr>
      <w:sz w:val="16"/>
      <w:szCs w:val="16"/>
    </w:rPr>
  </w:style>
  <w:style w:type="character" w:customStyle="1" w:styleId="41">
    <w:name w:val="ListLabel 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sz w:val="24"/>
      <w:szCs w:val="22"/>
      <w:u w:val="none"/>
    </w:rPr>
  </w:style>
  <w:style w:type="character" w:customStyle="1" w:styleId="42">
    <w:name w:val="ListLabel 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sz w:val="24"/>
      <w:szCs w:val="22"/>
      <w:u w:val="none"/>
    </w:rPr>
  </w:style>
  <w:style w:type="character" w:customStyle="1" w:styleId="43">
    <w:name w:val="ListLabel 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sz w:val="24"/>
      <w:szCs w:val="22"/>
      <w:u w:val="none"/>
    </w:rPr>
  </w:style>
  <w:style w:type="character" w:customStyle="1" w:styleId="44">
    <w:name w:val="ListLabel 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sz w:val="24"/>
      <w:szCs w:val="22"/>
      <w:u w:val="none"/>
    </w:rPr>
  </w:style>
  <w:style w:type="paragraph" w:customStyle="1" w:styleId="45">
    <w:name w:val="Заголовок"/>
    <w:basedOn w:val="1"/>
    <w:next w:val="7"/>
    <w:qFormat/>
    <w:uiPriority w:val="0"/>
    <w:rPr>
      <w:rFonts w:ascii="Arial" w:hAnsi="Arial" w:cs="Arial"/>
      <w:b/>
      <w:bCs/>
      <w:sz w:val="22"/>
      <w:szCs w:val="22"/>
    </w:rPr>
  </w:style>
  <w:style w:type="paragraph" w:customStyle="1" w:styleId="46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47">
    <w:name w:val="Верхний колонтитул1"/>
    <w:basedOn w:val="1"/>
    <w:qFormat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48">
    <w:name w:val="Нижний колонтитул1"/>
    <w:basedOn w:val="1"/>
    <w:qFormat/>
    <w:uiPriority w:val="0"/>
    <w:pPr>
      <w:tabs>
        <w:tab w:val="center" w:pos="4677"/>
        <w:tab w:val="right" w:pos="9355"/>
      </w:tabs>
    </w:pPr>
    <w:rPr>
      <w:lang w:val="zh-CN" w:eastAsia="zh-CN"/>
    </w:rPr>
  </w:style>
  <w:style w:type="paragraph" w:customStyle="1" w:styleId="49">
    <w:name w:val="ConsPlusTitle"/>
    <w:qFormat/>
    <w:uiPriority w:val="0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50">
    <w:name w:val="Нормальный (таблица)"/>
    <w:basedOn w:val="1"/>
    <w:qFormat/>
    <w:uiPriority w:val="99"/>
    <w:pPr>
      <w:jc w:val="both"/>
    </w:pPr>
    <w:rPr>
      <w:rFonts w:ascii="Arial" w:hAnsi="Arial"/>
    </w:rPr>
  </w:style>
  <w:style w:type="paragraph" w:customStyle="1" w:styleId="51">
    <w:name w:val="Прижатый влево"/>
    <w:basedOn w:val="1"/>
    <w:qFormat/>
    <w:uiPriority w:val="99"/>
    <w:rPr>
      <w:rFonts w:ascii="Arial" w:hAnsi="Arial"/>
    </w:rPr>
  </w:style>
  <w:style w:type="paragraph" w:customStyle="1" w:styleId="52">
    <w:name w:val="ConsPlusNonformat"/>
    <w:qFormat/>
    <w:uiPriority w:val="0"/>
    <w:pPr>
      <w:widowControl w:val="0"/>
    </w:pPr>
    <w:rPr>
      <w:rFonts w:ascii="Courier New" w:hAnsi="Courier New" w:eastAsia="Times New Roman" w:cs="Courier New"/>
      <w:sz w:val="24"/>
      <w:lang w:val="ru-RU" w:eastAsia="ru-RU" w:bidi="ar-SA"/>
    </w:rPr>
  </w:style>
  <w:style w:type="paragraph" w:customStyle="1" w:styleId="53">
    <w:name w:val="ConsPlusCell"/>
    <w:qFormat/>
    <w:uiPriority w:val="0"/>
    <w:pPr>
      <w:widowControl w:val="0"/>
    </w:pPr>
    <w:rPr>
      <w:rFonts w:ascii="Arial" w:hAnsi="Arial" w:eastAsia="Times New Roman" w:cs="Arial"/>
      <w:sz w:val="24"/>
      <w:lang w:val="ru-RU" w:eastAsia="ru-RU" w:bidi="ar-SA"/>
    </w:rPr>
  </w:style>
  <w:style w:type="paragraph" w:customStyle="1" w:styleId="54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5">
    <w:name w:val="Таблицы (моноширинный)"/>
    <w:basedOn w:val="1"/>
    <w:qFormat/>
    <w:uiPriority w:val="99"/>
    <w:pPr>
      <w:widowControl w:val="0"/>
      <w:jc w:val="both"/>
    </w:pPr>
    <w:rPr>
      <w:rFonts w:ascii="Courier New" w:hAnsi="Courier New" w:cs="Courier New"/>
    </w:rPr>
  </w:style>
  <w:style w:type="paragraph" w:styleId="5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57">
    <w:name w:val="ConsPlusNormal"/>
    <w:qFormat/>
    <w:uiPriority w:val="0"/>
    <w:pPr>
      <w:widowControl w:val="0"/>
      <w:ind w:firstLine="720"/>
    </w:pPr>
    <w:rPr>
      <w:rFonts w:ascii="Arial" w:hAnsi="Arial" w:eastAsia="Times New Roman" w:cs="Arial"/>
      <w:sz w:val="24"/>
      <w:lang w:val="ru-RU" w:eastAsia="ru-RU" w:bidi="ar-SA"/>
    </w:rPr>
  </w:style>
  <w:style w:type="paragraph" w:customStyle="1" w:styleId="58">
    <w:name w:val="Комментарий"/>
    <w:basedOn w:val="1"/>
    <w:qFormat/>
    <w:uiPriority w:val="99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59">
    <w:name w:val="ConsNormal"/>
    <w:qFormat/>
    <w:uiPriority w:val="0"/>
    <w:pPr>
      <w:widowControl w:val="0"/>
      <w:ind w:firstLine="72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0">
    <w:name w:val="Основной текст1"/>
    <w:basedOn w:val="1"/>
    <w:qFormat/>
    <w:uiPriority w:val="0"/>
    <w:pPr>
      <w:shd w:val="clear" w:color="auto" w:fill="FFFFFF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825D9-E690-4B6F-AE58-8A87D877B6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Департамент социальной полттики ЧАО</Company>
  <Pages>8</Pages>
  <Words>1196</Words>
  <Characters>6820</Characters>
  <Lines>56</Lines>
  <Paragraphs>15</Paragraphs>
  <TotalTime>4</TotalTime>
  <ScaleCrop>false</ScaleCrop>
  <LinksUpToDate>false</LinksUpToDate>
  <CharactersWithSpaces>8001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cp:lastModifiedBy>org4</cp:lastModifiedBy>
  <cp:lastPrinted>2015-10-26T23:56:00Z</cp:lastPrinted>
  <dcterms:modified xsi:type="dcterms:W3CDTF">2020-02-12T05:32:09Z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Департамент социальной полттики ЧАО</vt:lpwstr>
  </property>
  <property fmtid="{D5CDD505-2E9C-101B-9397-08002B2CF9AE}" pid="3" name="DocSecurity">
    <vt:i4>0</vt:i4>
  </property>
  <property fmtid="{D5CDD505-2E9C-101B-9397-08002B2CF9AE}" pid="4" name="KSOProductBuildVer">
    <vt:lpwstr>1049-11.2.0.9144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