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/>
    <w:p w:rsidR="00686551" w:rsidRPr="007D7D41" w:rsidRDefault="00686551" w:rsidP="00686551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08098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 декабря 2020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08098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1467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RPr="00C40ABE" w:rsidTr="00CA09A1">
        <w:tc>
          <w:tcPr>
            <w:tcW w:w="4856" w:type="dxa"/>
          </w:tcPr>
          <w:p w:rsidR="00686551" w:rsidRPr="00C40ABE" w:rsidRDefault="00C40ABE" w:rsidP="00CA09A1">
            <w:pPr>
              <w:jc w:val="both"/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Об утверждении карты рисков нарушения антимонопольного законодательства Департамента социальной политики Чукотского автономного округа на 2021 год</w:t>
            </w:r>
          </w:p>
        </w:tc>
        <w:tc>
          <w:tcPr>
            <w:tcW w:w="4856" w:type="dxa"/>
          </w:tcPr>
          <w:p w:rsidR="00686551" w:rsidRPr="00C40ABE" w:rsidRDefault="00686551" w:rsidP="00CA09A1">
            <w:pPr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686551" w:rsidRPr="00C40ABE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C40ABE" w:rsidRDefault="00686551" w:rsidP="00686551">
      <w:pPr>
        <w:jc w:val="both"/>
        <w:rPr>
          <w:sz w:val="28"/>
          <w:szCs w:val="28"/>
        </w:rPr>
      </w:pPr>
      <w:bookmarkStart w:id="0" w:name="sub_1"/>
    </w:p>
    <w:p w:rsidR="00C40ABE" w:rsidRPr="00C40ABE" w:rsidRDefault="00C40ABE" w:rsidP="00C40ABE">
      <w:pPr>
        <w:spacing w:line="276" w:lineRule="auto"/>
        <w:ind w:firstLine="720"/>
        <w:jc w:val="both"/>
        <w:rPr>
          <w:sz w:val="28"/>
          <w:szCs w:val="28"/>
        </w:rPr>
      </w:pPr>
      <w:r w:rsidRPr="00C40ABE">
        <w:rPr>
          <w:sz w:val="28"/>
          <w:szCs w:val="28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 и приказом Департамента социальной политики Чукотского автономного округа от 27 февраля 2019 года № 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 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C40ABE" w:rsidRPr="00C40ABE" w:rsidRDefault="00C40ABE" w:rsidP="005E50FB">
      <w:pPr>
        <w:numPr>
          <w:ilvl w:val="0"/>
          <w:numId w:val="27"/>
        </w:numPr>
        <w:tabs>
          <w:tab w:val="left" w:pos="851"/>
        </w:tabs>
        <w:ind w:left="0" w:firstLineChars="276" w:firstLine="773"/>
        <w:jc w:val="both"/>
        <w:rPr>
          <w:sz w:val="28"/>
          <w:szCs w:val="28"/>
        </w:rPr>
      </w:pPr>
      <w:r w:rsidRPr="00C40ABE">
        <w:rPr>
          <w:sz w:val="28"/>
          <w:szCs w:val="28"/>
        </w:rPr>
        <w:t>Утвердить карту рисков нарушения антимонопольного законодательства Департамента</w:t>
      </w:r>
      <w:r w:rsidR="005E50FB">
        <w:rPr>
          <w:sz w:val="28"/>
          <w:szCs w:val="28"/>
        </w:rPr>
        <w:t xml:space="preserve"> </w:t>
      </w:r>
      <w:r w:rsidRPr="00C40ABE">
        <w:rPr>
          <w:sz w:val="28"/>
          <w:szCs w:val="28"/>
        </w:rPr>
        <w:t>социальной политики</w:t>
      </w:r>
      <w:r w:rsidR="005E50FB">
        <w:rPr>
          <w:sz w:val="28"/>
          <w:szCs w:val="28"/>
        </w:rPr>
        <w:t xml:space="preserve"> </w:t>
      </w:r>
      <w:r w:rsidRPr="00C40ABE">
        <w:rPr>
          <w:sz w:val="28"/>
          <w:szCs w:val="28"/>
        </w:rPr>
        <w:t>Чукотского автономного округа</w:t>
      </w:r>
      <w:r w:rsidR="005E50FB">
        <w:rPr>
          <w:sz w:val="28"/>
          <w:szCs w:val="28"/>
        </w:rPr>
        <w:t xml:space="preserve"> </w:t>
      </w:r>
      <w:r w:rsidRPr="00C40ABE">
        <w:rPr>
          <w:bCs/>
          <w:sz w:val="28"/>
          <w:szCs w:val="28"/>
        </w:rPr>
        <w:t>согласно приложению к настоящему приказу</w:t>
      </w:r>
      <w:r w:rsidRPr="00C40ABE">
        <w:rPr>
          <w:sz w:val="28"/>
          <w:szCs w:val="28"/>
        </w:rPr>
        <w:t>.</w:t>
      </w:r>
    </w:p>
    <w:p w:rsidR="00C40ABE" w:rsidRPr="00C40ABE" w:rsidRDefault="00C40ABE" w:rsidP="005E50FB">
      <w:pPr>
        <w:numPr>
          <w:ilvl w:val="0"/>
          <w:numId w:val="27"/>
        </w:numPr>
        <w:tabs>
          <w:tab w:val="left" w:pos="851"/>
        </w:tabs>
        <w:ind w:left="0" w:firstLineChars="276" w:firstLine="773"/>
        <w:jc w:val="both"/>
        <w:rPr>
          <w:sz w:val="28"/>
          <w:szCs w:val="28"/>
        </w:rPr>
      </w:pPr>
      <w:r w:rsidRPr="00C40ABE">
        <w:rPr>
          <w:rFonts w:ascii="Arial"/>
          <w:sz w:val="28"/>
          <w:szCs w:val="28"/>
        </w:rPr>
        <w:t>Отделу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административно</w:t>
      </w:r>
      <w:r w:rsidRPr="00C40ABE">
        <w:rPr>
          <w:rFonts w:ascii="Arial"/>
          <w:sz w:val="28"/>
          <w:szCs w:val="28"/>
        </w:rPr>
        <w:t>-</w:t>
      </w:r>
      <w:r w:rsidRPr="00C40ABE">
        <w:rPr>
          <w:rFonts w:ascii="Arial"/>
          <w:sz w:val="28"/>
          <w:szCs w:val="28"/>
        </w:rPr>
        <w:t>организационной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и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правовой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работы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Департамента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социальной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политики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Чукотского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автономного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округа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обеспечить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ознакомление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начальников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структурных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подразделений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Департамента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с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настоящим</w:t>
      </w:r>
      <w:r w:rsidR="005E50FB">
        <w:rPr>
          <w:rFonts w:ascii="Arial"/>
          <w:sz w:val="28"/>
          <w:szCs w:val="28"/>
        </w:rPr>
        <w:t xml:space="preserve"> </w:t>
      </w:r>
      <w:r w:rsidRPr="00C40ABE">
        <w:rPr>
          <w:rFonts w:ascii="Arial"/>
          <w:sz w:val="28"/>
          <w:szCs w:val="28"/>
        </w:rPr>
        <w:t>приказом</w:t>
      </w:r>
      <w:r w:rsidRPr="00C40ABE">
        <w:rPr>
          <w:rFonts w:ascii="Arial"/>
          <w:sz w:val="28"/>
          <w:szCs w:val="28"/>
        </w:rPr>
        <w:t>.</w:t>
      </w:r>
    </w:p>
    <w:p w:rsidR="00C40ABE" w:rsidRPr="00C40ABE" w:rsidRDefault="00C40ABE" w:rsidP="005E50FB">
      <w:pPr>
        <w:numPr>
          <w:ilvl w:val="0"/>
          <w:numId w:val="27"/>
        </w:numPr>
        <w:tabs>
          <w:tab w:val="left" w:pos="851"/>
        </w:tabs>
        <w:ind w:left="0" w:firstLineChars="276" w:firstLine="773"/>
        <w:jc w:val="both"/>
        <w:rPr>
          <w:sz w:val="28"/>
          <w:szCs w:val="28"/>
        </w:rPr>
      </w:pPr>
      <w:r w:rsidRPr="00C40ABE">
        <w:rPr>
          <w:sz w:val="28"/>
          <w:szCs w:val="28"/>
        </w:rPr>
        <w:t>Контроль за исполнением настоящего приказа оставляю за собой.</w:t>
      </w:r>
    </w:p>
    <w:p w:rsidR="00686551" w:rsidRPr="00144A58" w:rsidRDefault="00686551" w:rsidP="00C40ABE">
      <w:pPr>
        <w:jc w:val="both"/>
        <w:rPr>
          <w:sz w:val="28"/>
          <w:szCs w:val="28"/>
        </w:rPr>
      </w:pPr>
    </w:p>
    <w:bookmarkEnd w:id="0"/>
    <w:p w:rsidR="00C40ABE" w:rsidRDefault="00080981" w:rsidP="00686551">
      <w:pPr>
        <w:outlineLvl w:val="2"/>
        <w:rPr>
          <w:sz w:val="28"/>
          <w:szCs w:val="28"/>
        </w:rPr>
        <w:sectPr w:rsidR="00C40ABE" w:rsidSect="00C106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  <w:r>
        <w:rPr>
          <w:noProof/>
        </w:rPr>
        <w:drawing>
          <wp:inline distT="0" distB="0" distL="0" distR="0" wp14:anchorId="61010A54" wp14:editId="217538D7">
            <wp:extent cx="4539615" cy="1079500"/>
            <wp:effectExtent l="0" t="0" r="0" b="635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15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5167"/>
      </w:tblGrid>
      <w:tr w:rsidR="00C40ABE" w:rsidRPr="00C40ABE" w:rsidTr="00004DF0">
        <w:tc>
          <w:tcPr>
            <w:tcW w:w="5117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УТВЕРЖДЕНО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Приказом Департамента социальной политики Чукотского автономного округа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от «</w:t>
            </w:r>
            <w:r w:rsidR="00080981">
              <w:rPr>
                <w:sz w:val="28"/>
                <w:szCs w:val="28"/>
              </w:rPr>
              <w:t>30</w:t>
            </w:r>
            <w:r w:rsidRPr="00C40ABE">
              <w:rPr>
                <w:sz w:val="28"/>
                <w:szCs w:val="28"/>
              </w:rPr>
              <w:t xml:space="preserve">» </w:t>
            </w:r>
            <w:r w:rsidR="00080981">
              <w:rPr>
                <w:sz w:val="28"/>
                <w:szCs w:val="28"/>
              </w:rPr>
              <w:t xml:space="preserve">декабря </w:t>
            </w:r>
            <w:r w:rsidRPr="00C40ABE">
              <w:rPr>
                <w:sz w:val="28"/>
                <w:szCs w:val="28"/>
              </w:rPr>
              <w:t xml:space="preserve"> 20</w:t>
            </w:r>
            <w:r w:rsidR="00080981">
              <w:rPr>
                <w:sz w:val="28"/>
                <w:szCs w:val="28"/>
              </w:rPr>
              <w:t>20</w:t>
            </w:r>
            <w:r w:rsidRPr="00C40ABE">
              <w:rPr>
                <w:sz w:val="28"/>
                <w:szCs w:val="28"/>
              </w:rPr>
              <w:t xml:space="preserve"> № </w:t>
            </w:r>
            <w:r w:rsidR="00080981">
              <w:rPr>
                <w:sz w:val="28"/>
                <w:szCs w:val="28"/>
              </w:rPr>
              <w:t>1467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</w:p>
        </w:tc>
      </w:tr>
    </w:tbl>
    <w:p w:rsidR="00C40ABE" w:rsidRPr="00C40ABE" w:rsidRDefault="00C40ABE" w:rsidP="00C40ABE">
      <w:pPr>
        <w:outlineLvl w:val="2"/>
        <w:rPr>
          <w:sz w:val="28"/>
          <w:szCs w:val="28"/>
        </w:rPr>
      </w:pPr>
    </w:p>
    <w:p w:rsidR="00C40ABE" w:rsidRPr="00C40ABE" w:rsidRDefault="00C40ABE" w:rsidP="00C40ABE">
      <w:pPr>
        <w:jc w:val="center"/>
        <w:outlineLvl w:val="2"/>
        <w:rPr>
          <w:b/>
          <w:bCs/>
          <w:sz w:val="28"/>
          <w:szCs w:val="28"/>
        </w:rPr>
      </w:pPr>
      <w:bookmarkStart w:id="1" w:name="P32"/>
      <w:bookmarkEnd w:id="1"/>
      <w:r w:rsidRPr="00C40ABE">
        <w:rPr>
          <w:b/>
          <w:bCs/>
          <w:sz w:val="28"/>
          <w:szCs w:val="28"/>
        </w:rPr>
        <w:t>Карта рисков нарушения антимонопо</w:t>
      </w:r>
      <w:bookmarkStart w:id="2" w:name="_GoBack"/>
      <w:bookmarkEnd w:id="2"/>
      <w:r w:rsidRPr="00C40ABE">
        <w:rPr>
          <w:b/>
          <w:bCs/>
          <w:sz w:val="28"/>
          <w:szCs w:val="28"/>
        </w:rPr>
        <w:t>льного законодательства</w:t>
      </w:r>
    </w:p>
    <w:p w:rsidR="00C40ABE" w:rsidRPr="00C40ABE" w:rsidRDefault="00C40ABE" w:rsidP="00C40ABE">
      <w:pPr>
        <w:jc w:val="center"/>
        <w:outlineLvl w:val="2"/>
        <w:rPr>
          <w:b/>
          <w:bCs/>
          <w:sz w:val="28"/>
          <w:szCs w:val="28"/>
        </w:rPr>
      </w:pPr>
      <w:r w:rsidRPr="00C40ABE">
        <w:rPr>
          <w:b/>
          <w:bCs/>
          <w:sz w:val="28"/>
          <w:szCs w:val="28"/>
        </w:rPr>
        <w:t>Департамента социальной политики Чукотского автономного округа</w:t>
      </w:r>
      <w:r>
        <w:rPr>
          <w:b/>
          <w:bCs/>
          <w:sz w:val="28"/>
          <w:szCs w:val="28"/>
        </w:rPr>
        <w:t xml:space="preserve"> на 2021 год</w:t>
      </w:r>
    </w:p>
    <w:p w:rsidR="00C40ABE" w:rsidRPr="00C40ABE" w:rsidRDefault="00C40ABE" w:rsidP="00C40ABE">
      <w:pPr>
        <w:outlineLvl w:val="2"/>
        <w:rPr>
          <w:sz w:val="28"/>
          <w:szCs w:val="28"/>
        </w:rPr>
      </w:pPr>
    </w:p>
    <w:tbl>
      <w:tblPr>
        <w:tblStyle w:val="a8"/>
        <w:tblW w:w="14892" w:type="dxa"/>
        <w:tblLayout w:type="fixed"/>
        <w:tblLook w:val="04A0" w:firstRow="1" w:lastRow="0" w:firstColumn="1" w:lastColumn="0" w:noHBand="0" w:noVBand="1"/>
      </w:tblPr>
      <w:tblGrid>
        <w:gridCol w:w="484"/>
        <w:gridCol w:w="2578"/>
        <w:gridCol w:w="2408"/>
        <w:gridCol w:w="2728"/>
        <w:gridCol w:w="4526"/>
        <w:gridCol w:w="2168"/>
      </w:tblGrid>
      <w:tr w:rsidR="00C40ABE" w:rsidRPr="00C40ABE" w:rsidTr="00970F6F">
        <w:tc>
          <w:tcPr>
            <w:tcW w:w="484" w:type="dxa"/>
            <w:vAlign w:val="center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№</w:t>
            </w:r>
          </w:p>
        </w:tc>
        <w:tc>
          <w:tcPr>
            <w:tcW w:w="2578" w:type="dxa"/>
            <w:vAlign w:val="center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Наименование полномочия (действия, административная процедура), реализация которого связана с рисками</w:t>
            </w:r>
          </w:p>
        </w:tc>
        <w:tc>
          <w:tcPr>
            <w:tcW w:w="2408" w:type="dxa"/>
            <w:vAlign w:val="center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Наименование структурных подразделений, при реализации полномочий которых возможно возникновение рисков</w:t>
            </w:r>
          </w:p>
        </w:tc>
        <w:tc>
          <w:tcPr>
            <w:tcW w:w="2728" w:type="dxa"/>
            <w:vAlign w:val="center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Риск (краткое описание)</w:t>
            </w:r>
          </w:p>
        </w:tc>
        <w:tc>
          <w:tcPr>
            <w:tcW w:w="4526" w:type="dxa"/>
            <w:vAlign w:val="center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Причины (условия) возникновения риска</w:t>
            </w:r>
          </w:p>
        </w:tc>
        <w:tc>
          <w:tcPr>
            <w:tcW w:w="2168" w:type="dxa"/>
            <w:vAlign w:val="center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Уровень риска</w:t>
            </w:r>
          </w:p>
        </w:tc>
      </w:tr>
      <w:tr w:rsidR="00C40ABE" w:rsidRPr="00C40ABE" w:rsidTr="00970F6F">
        <w:tc>
          <w:tcPr>
            <w:tcW w:w="484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1.</w:t>
            </w:r>
          </w:p>
        </w:tc>
        <w:tc>
          <w:tcPr>
            <w:tcW w:w="257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Организация и проведение закупок товаров, работ, услуг для государственных нужд</w:t>
            </w:r>
          </w:p>
        </w:tc>
        <w:tc>
          <w:tcPr>
            <w:tcW w:w="240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Отдел административно-организационной и правовой работы</w:t>
            </w:r>
          </w:p>
        </w:tc>
        <w:tc>
          <w:tcPr>
            <w:tcW w:w="272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- координация деятельности участников закупки;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 xml:space="preserve">- заключение государственных контрактов (договоров) между заказчиком с участниками закупки, если такие </w:t>
            </w:r>
            <w:r w:rsidRPr="00C40ABE">
              <w:rPr>
                <w:sz w:val="28"/>
                <w:szCs w:val="28"/>
              </w:rPr>
              <w:lastRenderedPageBreak/>
              <w:t>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- создание участнику закупки или нескольким участникам закупки преимущественных условий участия в закупке, в том числе путем доступа к информации;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- нарушение порядка определения победителя закупки;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 xml:space="preserve">- нарушение порядка определения начальной </w:t>
            </w:r>
            <w:r w:rsidRPr="00C40ABE">
              <w:rPr>
                <w:sz w:val="28"/>
                <w:szCs w:val="28"/>
              </w:rPr>
              <w:lastRenderedPageBreak/>
              <w:t>(максимальной) цены государственного контракта</w:t>
            </w:r>
          </w:p>
        </w:tc>
        <w:tc>
          <w:tcPr>
            <w:tcW w:w="4526" w:type="dxa"/>
          </w:tcPr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lastRenderedPageBreak/>
              <w:t>несоблюдение принципов открытости, прозрачности информации о контрактной системе в сфере закупок, обеспечения конкуренции, профессионализма заказчика;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высокая нагрузка на сотрудников;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отсутствие достаточной квалификации сотрудников;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lastRenderedPageBreak/>
              <w:t>поручение вышестоящего руководства;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непринятие мер по исключению конфликта интересов;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- предоставление недостоверных сведений для определения начальной (максимальной) цены контракта</w:t>
            </w:r>
          </w:p>
        </w:tc>
        <w:tc>
          <w:tcPr>
            <w:tcW w:w="216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lastRenderedPageBreak/>
              <w:t>высокий</w:t>
            </w:r>
          </w:p>
        </w:tc>
      </w:tr>
      <w:tr w:rsidR="00C40ABE" w:rsidRPr="00C40ABE" w:rsidTr="00970F6F">
        <w:tc>
          <w:tcPr>
            <w:tcW w:w="484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7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Подготовка заключений Департамента о целесообразности привлечения и использования иностранных работников</w:t>
            </w:r>
          </w:p>
        </w:tc>
        <w:tc>
          <w:tcPr>
            <w:tcW w:w="240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Управления занятости населения</w:t>
            </w:r>
          </w:p>
        </w:tc>
        <w:tc>
          <w:tcPr>
            <w:tcW w:w="2728" w:type="dxa"/>
          </w:tcPr>
          <w:p w:rsidR="00C40ABE" w:rsidRPr="00C40ABE" w:rsidRDefault="00C40ABE" w:rsidP="00C40ABE">
            <w:pPr>
              <w:numPr>
                <w:ilvl w:val="0"/>
                <w:numId w:val="29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согласованные действия;</w:t>
            </w:r>
          </w:p>
          <w:p w:rsidR="00C40ABE" w:rsidRPr="00C40ABE" w:rsidRDefault="00C40ABE" w:rsidP="00C40ABE">
            <w:pPr>
              <w:numPr>
                <w:ilvl w:val="0"/>
                <w:numId w:val="29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 xml:space="preserve">предоставление хозяйствующим субъектам доступа к информации в приоритетном порядке; </w:t>
            </w:r>
          </w:p>
          <w:p w:rsidR="00C40ABE" w:rsidRPr="00C40ABE" w:rsidRDefault="00C40ABE" w:rsidP="00C40ABE">
            <w:pPr>
              <w:numPr>
                <w:ilvl w:val="0"/>
                <w:numId w:val="29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ненадлежащая подготовка документов</w:t>
            </w:r>
          </w:p>
        </w:tc>
        <w:tc>
          <w:tcPr>
            <w:tcW w:w="4526" w:type="dxa"/>
          </w:tcPr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поручение вышестоящего руководства;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невнимательность при подготовке документов;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недостаточная компетентность в данном направлении работы;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недостоверная информация в запросах УМВД России по Чукотскому автономному округу</w:t>
            </w:r>
          </w:p>
        </w:tc>
        <w:tc>
          <w:tcPr>
            <w:tcW w:w="216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существенный</w:t>
            </w:r>
          </w:p>
        </w:tc>
      </w:tr>
      <w:tr w:rsidR="00C40ABE" w:rsidRPr="00C40ABE" w:rsidTr="00970F6F">
        <w:tc>
          <w:tcPr>
            <w:tcW w:w="484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3.</w:t>
            </w:r>
          </w:p>
        </w:tc>
        <w:tc>
          <w:tcPr>
            <w:tcW w:w="257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Разработка проектов НПА, регламентирующих взаимодействие (деятельность), права и интересы хозяйствующих субъектов в сферах деятельности Департамента</w:t>
            </w:r>
          </w:p>
        </w:tc>
        <w:tc>
          <w:tcPr>
            <w:tcW w:w="240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 xml:space="preserve">Управление занятости населения; 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 xml:space="preserve">Управление социальной </w:t>
            </w:r>
            <w:r>
              <w:rPr>
                <w:sz w:val="28"/>
                <w:szCs w:val="28"/>
              </w:rPr>
              <w:t>поддержки населения</w:t>
            </w:r>
            <w:r w:rsidRPr="00C40ABE">
              <w:rPr>
                <w:sz w:val="28"/>
                <w:szCs w:val="28"/>
              </w:rPr>
              <w:t xml:space="preserve">; 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Финансово-экономическое управление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 xml:space="preserve">Отдел </w:t>
            </w:r>
            <w:r w:rsidRPr="00C40ABE">
              <w:rPr>
                <w:sz w:val="28"/>
                <w:szCs w:val="28"/>
              </w:rPr>
              <w:lastRenderedPageBreak/>
              <w:t>административно-организационной и правовой работы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40ABE" w:rsidRPr="00C40ABE" w:rsidRDefault="00C40ABE" w:rsidP="00C40ABE">
            <w:pPr>
              <w:numPr>
                <w:ilvl w:val="0"/>
                <w:numId w:val="29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lastRenderedPageBreak/>
              <w:t>создание дискриминационных или преимущественных условий для отдельных хозяйствующих субъектов;</w:t>
            </w:r>
          </w:p>
          <w:p w:rsidR="00C40ABE" w:rsidRPr="00C40ABE" w:rsidRDefault="00C40ABE" w:rsidP="00C40ABE">
            <w:pPr>
              <w:numPr>
                <w:ilvl w:val="0"/>
                <w:numId w:val="29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 xml:space="preserve">введение дополнительных (необоснованных) ограничений и требований для отдельных </w:t>
            </w:r>
            <w:r w:rsidRPr="00C40ABE">
              <w:rPr>
                <w:sz w:val="28"/>
                <w:szCs w:val="28"/>
              </w:rPr>
              <w:lastRenderedPageBreak/>
              <w:t>хозяйствующих субъектов;</w:t>
            </w:r>
          </w:p>
          <w:p w:rsidR="00C40ABE" w:rsidRPr="00C40ABE" w:rsidRDefault="00C40ABE" w:rsidP="00C40ABE">
            <w:pPr>
              <w:numPr>
                <w:ilvl w:val="0"/>
                <w:numId w:val="29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 xml:space="preserve">введение ограничений прав граждан на выбор хозяйствующего </w:t>
            </w:r>
            <w:proofErr w:type="spellStart"/>
            <w:r w:rsidRPr="00C40ABE">
              <w:rPr>
                <w:sz w:val="28"/>
                <w:szCs w:val="28"/>
              </w:rPr>
              <w:t>субьекта</w:t>
            </w:r>
            <w:proofErr w:type="spellEnd"/>
            <w:r w:rsidRPr="00C40ABE">
              <w:rPr>
                <w:sz w:val="28"/>
                <w:szCs w:val="28"/>
              </w:rPr>
              <w:t xml:space="preserve"> при получении мер социальной поддержки в форме денежной выплаты</w:t>
            </w:r>
          </w:p>
        </w:tc>
        <w:tc>
          <w:tcPr>
            <w:tcW w:w="4526" w:type="dxa"/>
          </w:tcPr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lastRenderedPageBreak/>
              <w:t>отсутствие у специалистов необходимых и достаточных знаний в области нормотворческой деятельности;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сжатые сроки принятия НПА;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неприменение, ошибочное применение антимонопольного законодательства при подготовке НПА;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высокая нагрузка на специалистов;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отсутствие достаточного количества кадров;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proofErr w:type="spellStart"/>
            <w:r w:rsidRPr="00C40ABE">
              <w:rPr>
                <w:sz w:val="28"/>
                <w:szCs w:val="28"/>
              </w:rPr>
              <w:t>неразмещение</w:t>
            </w:r>
            <w:proofErr w:type="spellEnd"/>
            <w:r w:rsidRPr="00C40ABE">
              <w:rPr>
                <w:sz w:val="28"/>
                <w:szCs w:val="28"/>
              </w:rPr>
              <w:t xml:space="preserve"> проекта НПА на </w:t>
            </w:r>
            <w:r w:rsidRPr="00C40ABE">
              <w:rPr>
                <w:sz w:val="28"/>
                <w:szCs w:val="28"/>
              </w:rPr>
              <w:lastRenderedPageBreak/>
              <w:t>официальном сайте Департамента для проведения анализа на предмет соответствия его антимонопольному законодательству;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недостаточный</w:t>
            </w:r>
            <w:r w:rsidR="003D6113">
              <w:rPr>
                <w:sz w:val="28"/>
                <w:szCs w:val="28"/>
              </w:rPr>
              <w:t xml:space="preserve"> </w:t>
            </w:r>
            <w:proofErr w:type="spellStart"/>
            <w:r w:rsidRPr="00C40ABE">
              <w:rPr>
                <w:sz w:val="28"/>
                <w:szCs w:val="28"/>
                <w:lang w:val="en-US"/>
              </w:rPr>
              <w:t>уровень</w:t>
            </w:r>
            <w:proofErr w:type="spellEnd"/>
            <w:r w:rsidR="003D6113">
              <w:rPr>
                <w:sz w:val="28"/>
                <w:szCs w:val="28"/>
              </w:rPr>
              <w:t xml:space="preserve"> </w:t>
            </w:r>
            <w:proofErr w:type="spellStart"/>
            <w:r w:rsidRPr="00C40ABE">
              <w:rPr>
                <w:sz w:val="28"/>
                <w:szCs w:val="28"/>
                <w:lang w:val="en-US"/>
              </w:rPr>
              <w:t>правовой</w:t>
            </w:r>
            <w:proofErr w:type="spellEnd"/>
            <w:r w:rsidR="003D6113">
              <w:rPr>
                <w:sz w:val="28"/>
                <w:szCs w:val="28"/>
              </w:rPr>
              <w:t xml:space="preserve"> </w:t>
            </w:r>
            <w:proofErr w:type="spellStart"/>
            <w:r w:rsidRPr="00C40ABE">
              <w:rPr>
                <w:sz w:val="28"/>
                <w:szCs w:val="28"/>
                <w:lang w:val="en-US"/>
              </w:rPr>
              <w:t>экспертизы</w:t>
            </w:r>
            <w:proofErr w:type="spellEnd"/>
            <w:r w:rsidRPr="00C40ABE">
              <w:rPr>
                <w:sz w:val="28"/>
                <w:szCs w:val="28"/>
                <w:lang w:val="en-US"/>
              </w:rPr>
              <w:t>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proofErr w:type="spellStart"/>
            <w:r w:rsidRPr="00C40ABE">
              <w:rPr>
                <w:sz w:val="28"/>
                <w:szCs w:val="28"/>
                <w:lang w:val="en-US"/>
              </w:rPr>
              <w:t>недостаточный</w:t>
            </w:r>
            <w:proofErr w:type="spellEnd"/>
            <w:r w:rsidR="003D6113">
              <w:rPr>
                <w:sz w:val="28"/>
                <w:szCs w:val="28"/>
              </w:rPr>
              <w:t xml:space="preserve"> </w:t>
            </w:r>
            <w:proofErr w:type="spellStart"/>
            <w:r w:rsidRPr="00C40ABE">
              <w:rPr>
                <w:sz w:val="28"/>
                <w:szCs w:val="28"/>
                <w:lang w:val="en-US"/>
              </w:rPr>
              <w:t>уровень</w:t>
            </w:r>
            <w:proofErr w:type="spellEnd"/>
            <w:r w:rsidR="003D6113">
              <w:rPr>
                <w:sz w:val="28"/>
                <w:szCs w:val="28"/>
              </w:rPr>
              <w:t xml:space="preserve"> </w:t>
            </w:r>
            <w:proofErr w:type="spellStart"/>
            <w:r w:rsidRPr="00C40ABE">
              <w:rPr>
                <w:sz w:val="28"/>
                <w:szCs w:val="28"/>
                <w:lang w:val="en-US"/>
              </w:rPr>
              <w:t>внутреннего</w:t>
            </w:r>
            <w:proofErr w:type="spellEnd"/>
            <w:r w:rsidR="003D6113">
              <w:rPr>
                <w:sz w:val="28"/>
                <w:szCs w:val="28"/>
              </w:rPr>
              <w:t xml:space="preserve"> </w:t>
            </w:r>
            <w:proofErr w:type="spellStart"/>
            <w:r w:rsidRPr="00C40ABE">
              <w:rPr>
                <w:sz w:val="28"/>
                <w:szCs w:val="28"/>
                <w:lang w:val="en-US"/>
              </w:rPr>
              <w:t>контроля</w:t>
            </w:r>
            <w:proofErr w:type="spellEnd"/>
          </w:p>
        </w:tc>
        <w:tc>
          <w:tcPr>
            <w:tcW w:w="216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lastRenderedPageBreak/>
              <w:t>незначительный</w:t>
            </w:r>
          </w:p>
        </w:tc>
      </w:tr>
      <w:tr w:rsidR="00C40ABE" w:rsidRPr="00C40ABE" w:rsidTr="00970F6F">
        <w:tc>
          <w:tcPr>
            <w:tcW w:w="484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57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Применение мер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административной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ответственности</w:t>
            </w:r>
          </w:p>
        </w:tc>
        <w:tc>
          <w:tcPr>
            <w:tcW w:w="2408" w:type="dxa"/>
          </w:tcPr>
          <w:p w:rsid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Управление занятости населения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Отдел административно-организационной и правовой работы</w:t>
            </w:r>
          </w:p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C40ABE" w:rsidRPr="00C40ABE" w:rsidRDefault="00C40ABE" w:rsidP="00C40ABE">
            <w:pPr>
              <w:numPr>
                <w:ilvl w:val="0"/>
                <w:numId w:val="29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внесение заведомо ложных сведений в процессуальные документы при производстве административного дела;</w:t>
            </w:r>
          </w:p>
          <w:p w:rsidR="00C40ABE" w:rsidRPr="00C40ABE" w:rsidRDefault="00C40ABE" w:rsidP="00C40ABE">
            <w:pPr>
              <w:numPr>
                <w:ilvl w:val="0"/>
                <w:numId w:val="29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составление протокола (предостережения) на заведомо неуполномоченного представителя юридического лица (индивидуального предпринимателя);</w:t>
            </w:r>
          </w:p>
          <w:p w:rsidR="00C40ABE" w:rsidRPr="00C40ABE" w:rsidRDefault="00C40ABE" w:rsidP="00C40ABE">
            <w:pPr>
              <w:numPr>
                <w:ilvl w:val="0"/>
                <w:numId w:val="29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 xml:space="preserve">направление </w:t>
            </w:r>
            <w:r w:rsidRPr="00C40ABE">
              <w:rPr>
                <w:sz w:val="28"/>
                <w:szCs w:val="28"/>
              </w:rPr>
              <w:lastRenderedPageBreak/>
              <w:t>протокола (предостережения) с нарушением установленного срока или не направление протокола (предостережения) в целях последующей их отмены</w:t>
            </w:r>
          </w:p>
        </w:tc>
        <w:tc>
          <w:tcPr>
            <w:tcW w:w="4526" w:type="dxa"/>
          </w:tcPr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lastRenderedPageBreak/>
              <w:t>недостаточный уровень правовой экспертизы,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невнимательность при проверке документов;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недостаточный уровень внутреннего контроля;</w:t>
            </w:r>
          </w:p>
          <w:p w:rsidR="00C40ABE" w:rsidRPr="00C40ABE" w:rsidRDefault="00C40ABE" w:rsidP="00C40ABE">
            <w:pPr>
              <w:numPr>
                <w:ilvl w:val="0"/>
                <w:numId w:val="28"/>
              </w:num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непринятие мер по исключению конфликта интересов.</w:t>
            </w:r>
          </w:p>
        </w:tc>
        <w:tc>
          <w:tcPr>
            <w:tcW w:w="2168" w:type="dxa"/>
          </w:tcPr>
          <w:p w:rsidR="00C40ABE" w:rsidRPr="00C40ABE" w:rsidRDefault="00C40ABE" w:rsidP="00C40ABE">
            <w:pPr>
              <w:outlineLvl w:val="2"/>
              <w:rPr>
                <w:sz w:val="28"/>
                <w:szCs w:val="28"/>
              </w:rPr>
            </w:pPr>
            <w:r w:rsidRPr="00C40ABE">
              <w:rPr>
                <w:sz w:val="28"/>
                <w:szCs w:val="28"/>
              </w:rPr>
              <w:t>низкий</w:t>
            </w:r>
          </w:p>
        </w:tc>
      </w:tr>
    </w:tbl>
    <w:p w:rsidR="00C40ABE" w:rsidRPr="00C40ABE" w:rsidRDefault="00C40ABE" w:rsidP="00C40ABE">
      <w:pPr>
        <w:outlineLvl w:val="2"/>
        <w:rPr>
          <w:sz w:val="28"/>
          <w:szCs w:val="28"/>
        </w:rPr>
      </w:pPr>
    </w:p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Pr="00686551" w:rsidRDefault="00BA4B92" w:rsidP="00686551"/>
    <w:sectPr w:rsidR="00BA4B92" w:rsidRPr="00686551" w:rsidSect="00C40ABE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8F2" w:rsidRDefault="00ED08F2">
      <w:r>
        <w:separator/>
      </w:r>
    </w:p>
  </w:endnote>
  <w:endnote w:type="continuationSeparator" w:id="0">
    <w:p w:rsidR="00ED08F2" w:rsidRDefault="00ED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8F2" w:rsidRDefault="00ED08F2">
      <w:r>
        <w:separator/>
      </w:r>
    </w:p>
  </w:footnote>
  <w:footnote w:type="continuationSeparator" w:id="0">
    <w:p w:rsidR="00ED08F2" w:rsidRDefault="00ED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8B902"/>
    <w:multiLevelType w:val="singleLevel"/>
    <w:tmpl w:val="9288B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F689643B"/>
    <w:multiLevelType w:val="singleLevel"/>
    <w:tmpl w:val="F689643B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6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8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8"/>
  </w:num>
  <w:num w:numId="4">
    <w:abstractNumId w:val="13"/>
  </w:num>
  <w:num w:numId="5">
    <w:abstractNumId w:val="23"/>
  </w:num>
  <w:num w:numId="6">
    <w:abstractNumId w:val="4"/>
  </w:num>
  <w:num w:numId="7">
    <w:abstractNumId w:val="11"/>
  </w:num>
  <w:num w:numId="8">
    <w:abstractNumId w:val="19"/>
  </w:num>
  <w:num w:numId="9">
    <w:abstractNumId w:val="24"/>
  </w:num>
  <w:num w:numId="10">
    <w:abstractNumId w:val="22"/>
  </w:num>
  <w:num w:numId="11">
    <w:abstractNumId w:val="18"/>
  </w:num>
  <w:num w:numId="12">
    <w:abstractNumId w:val="6"/>
  </w:num>
  <w:num w:numId="13">
    <w:abstractNumId w:val="26"/>
  </w:num>
  <w:num w:numId="14">
    <w:abstractNumId w:val="16"/>
  </w:num>
  <w:num w:numId="15">
    <w:abstractNumId w:val="27"/>
  </w:num>
  <w:num w:numId="16">
    <w:abstractNumId w:val="21"/>
  </w:num>
  <w:num w:numId="17">
    <w:abstractNumId w:val="8"/>
  </w:num>
  <w:num w:numId="18">
    <w:abstractNumId w:val="14"/>
  </w:num>
  <w:num w:numId="19">
    <w:abstractNumId w:val="17"/>
  </w:num>
  <w:num w:numId="20">
    <w:abstractNumId w:val="20"/>
  </w:num>
  <w:num w:numId="21">
    <w:abstractNumId w:val="9"/>
  </w:num>
  <w:num w:numId="22">
    <w:abstractNumId w:val="2"/>
  </w:num>
  <w:num w:numId="23">
    <w:abstractNumId w:val="3"/>
  </w:num>
  <w:num w:numId="24">
    <w:abstractNumId w:val="10"/>
  </w:num>
  <w:num w:numId="25">
    <w:abstractNumId w:val="15"/>
  </w:num>
  <w:num w:numId="26">
    <w:abstractNumId w:val="25"/>
  </w:num>
  <w:num w:numId="27">
    <w:abstractNumId w:val="12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0981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6113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14B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2D7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0FB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07F20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70F6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0AB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8F2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BB75-674C-473A-8FA5-0486973A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</cp:lastModifiedBy>
  <cp:revision>10</cp:revision>
  <cp:lastPrinted>2015-10-26T23:56:00Z</cp:lastPrinted>
  <dcterms:created xsi:type="dcterms:W3CDTF">2017-03-09T22:24:00Z</dcterms:created>
  <dcterms:modified xsi:type="dcterms:W3CDTF">2021-04-06T06:39:00Z</dcterms:modified>
</cp:coreProperties>
</file>