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CA09A1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A80335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 декабря 2020 года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A80335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1468</w:t>
            </w: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DF3260" w:rsidP="00DF3260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ключевых показателей эффективности функционирования антимонопольного </w:t>
            </w:r>
            <w:proofErr w:type="spellStart"/>
            <w:r>
              <w:rPr>
                <w:sz w:val="26"/>
                <w:szCs w:val="26"/>
              </w:rPr>
              <w:t>комплаенса</w:t>
            </w:r>
            <w:proofErr w:type="spellEnd"/>
            <w:r>
              <w:rPr>
                <w:sz w:val="26"/>
                <w:szCs w:val="26"/>
              </w:rPr>
              <w:t xml:space="preserve"> в Департаменте социальной политики Чукотского автономного округа на 2021 год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0" w:name="sub_1"/>
    </w:p>
    <w:p w:rsidR="00686551" w:rsidRPr="00144A58" w:rsidRDefault="00DF3260" w:rsidP="00DF326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в соответствии с пунктом 29 распоряжения Правительства Российской Федерации от 18 октября 2018 года № 2258-р и приказа Департамента социальной политики Чукотского автономного округа от 27 февраля 2019 года № 325 «О системе внутреннего обеспечения соответствия требованиям антимонопольного законодательства в Департаменте</w:t>
      </w:r>
      <w:proofErr w:type="gramEnd"/>
      <w:r>
        <w:rPr>
          <w:sz w:val="26"/>
          <w:szCs w:val="26"/>
        </w:rPr>
        <w:t xml:space="preserve"> социальной политики Чукотского автономного округа»,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A80335">
      <w:pPr>
        <w:jc w:val="both"/>
        <w:rPr>
          <w:sz w:val="28"/>
          <w:szCs w:val="28"/>
        </w:rPr>
      </w:pPr>
    </w:p>
    <w:p w:rsidR="00DF3260" w:rsidRPr="00DF3260" w:rsidRDefault="00686551" w:rsidP="00A80335">
      <w:pPr>
        <w:numPr>
          <w:ilvl w:val="0"/>
          <w:numId w:val="27"/>
        </w:numPr>
        <w:tabs>
          <w:tab w:val="left" w:pos="851"/>
        </w:tabs>
        <w:spacing w:line="276" w:lineRule="auto"/>
        <w:ind w:left="0" w:firstLineChars="276" w:firstLine="773"/>
        <w:jc w:val="both"/>
        <w:rPr>
          <w:sz w:val="26"/>
          <w:szCs w:val="26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  <w:r w:rsidR="00DF3260" w:rsidRPr="00DF3260">
        <w:rPr>
          <w:sz w:val="26"/>
          <w:szCs w:val="26"/>
        </w:rPr>
        <w:t xml:space="preserve">Утвердить ключевые показатели эффективности функционирования в Департаменте социальной политики Чукотского автономного округа антимонопольного </w:t>
      </w:r>
      <w:proofErr w:type="spellStart"/>
      <w:r w:rsidR="00DF3260" w:rsidRPr="00DF3260">
        <w:rPr>
          <w:sz w:val="26"/>
          <w:szCs w:val="26"/>
        </w:rPr>
        <w:t>комплаенса</w:t>
      </w:r>
      <w:proofErr w:type="spellEnd"/>
      <w:r w:rsidR="00DF3260" w:rsidRPr="00DF3260">
        <w:rPr>
          <w:sz w:val="26"/>
          <w:szCs w:val="26"/>
        </w:rPr>
        <w:t xml:space="preserve"> </w:t>
      </w:r>
      <w:r w:rsidR="00DF3260" w:rsidRPr="00DF3260">
        <w:rPr>
          <w:bCs/>
          <w:sz w:val="26"/>
          <w:szCs w:val="26"/>
        </w:rPr>
        <w:t>согласно приложению к настоящему приказу</w:t>
      </w:r>
      <w:r w:rsidR="00DF3260" w:rsidRPr="00DF3260">
        <w:rPr>
          <w:sz w:val="26"/>
          <w:szCs w:val="26"/>
        </w:rPr>
        <w:t>.</w:t>
      </w:r>
    </w:p>
    <w:p w:rsidR="00DF3260" w:rsidRPr="00DF3260" w:rsidRDefault="00DF3260" w:rsidP="00A80335">
      <w:pPr>
        <w:numPr>
          <w:ilvl w:val="0"/>
          <w:numId w:val="27"/>
        </w:numPr>
        <w:tabs>
          <w:tab w:val="left" w:pos="851"/>
        </w:tabs>
        <w:spacing w:line="276" w:lineRule="auto"/>
        <w:ind w:left="0" w:firstLineChars="276" w:firstLine="718"/>
        <w:jc w:val="both"/>
        <w:rPr>
          <w:sz w:val="26"/>
          <w:szCs w:val="26"/>
        </w:rPr>
      </w:pPr>
      <w:r w:rsidRPr="00DF3260">
        <w:rPr>
          <w:sz w:val="26"/>
          <w:szCs w:val="26"/>
        </w:rPr>
        <w:t>Отделу административно-организационной и правовой работы Департамента социальной политики Чукотского автономного округа обеспечить ознакомление начальников структурных подразделений и самостоятельных отделов Департамента с настоящим приказом.</w:t>
      </w:r>
    </w:p>
    <w:p w:rsidR="00DF3260" w:rsidRPr="00DF3260" w:rsidRDefault="00DF3260" w:rsidP="00A80335">
      <w:pPr>
        <w:numPr>
          <w:ilvl w:val="0"/>
          <w:numId w:val="27"/>
        </w:numPr>
        <w:tabs>
          <w:tab w:val="left" w:pos="851"/>
        </w:tabs>
        <w:spacing w:line="276" w:lineRule="auto"/>
        <w:ind w:left="0" w:firstLineChars="276" w:firstLine="718"/>
        <w:jc w:val="both"/>
        <w:rPr>
          <w:sz w:val="26"/>
          <w:szCs w:val="26"/>
        </w:rPr>
      </w:pPr>
      <w:r w:rsidRPr="00DF3260">
        <w:rPr>
          <w:sz w:val="26"/>
          <w:szCs w:val="26"/>
        </w:rPr>
        <w:t xml:space="preserve"> </w:t>
      </w:r>
      <w:proofErr w:type="gramStart"/>
      <w:r w:rsidRPr="00DF3260">
        <w:rPr>
          <w:sz w:val="26"/>
          <w:szCs w:val="26"/>
        </w:rPr>
        <w:t>Контроль за</w:t>
      </w:r>
      <w:proofErr w:type="gramEnd"/>
      <w:r w:rsidRPr="00DF3260">
        <w:rPr>
          <w:sz w:val="26"/>
          <w:szCs w:val="26"/>
        </w:rPr>
        <w:t xml:space="preserve"> исполнением настоящего приказа оставляю за собой.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bookmarkEnd w:id="0"/>
    <w:p w:rsidR="00DF3260" w:rsidRDefault="00A80335" w:rsidP="00686551">
      <w:pPr>
        <w:outlineLvl w:val="2"/>
        <w:rPr>
          <w:sz w:val="28"/>
          <w:szCs w:val="28"/>
        </w:rPr>
      </w:pPr>
      <w:r>
        <w:rPr>
          <w:noProof/>
        </w:rPr>
        <w:drawing>
          <wp:inline distT="0" distB="0" distL="0" distR="0" wp14:anchorId="320C5C60" wp14:editId="1F40A498">
            <wp:extent cx="4539615" cy="1079500"/>
            <wp:effectExtent l="0" t="0" r="0" b="635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60" w:rsidRPr="00DF3260" w:rsidRDefault="00DF3260" w:rsidP="00DF3260">
      <w:pPr>
        <w:autoSpaceDE w:val="0"/>
        <w:autoSpaceDN w:val="0"/>
        <w:adjustRightInd w:val="0"/>
        <w:ind w:left="5669" w:firstLine="720"/>
        <w:jc w:val="center"/>
      </w:pPr>
      <w:r w:rsidRPr="00DF3260">
        <w:lastRenderedPageBreak/>
        <w:t>УТВЕРЖДЕНО</w:t>
      </w:r>
    </w:p>
    <w:p w:rsidR="00DF3260" w:rsidRPr="00DF3260" w:rsidRDefault="00DF3260" w:rsidP="00DF3260">
      <w:pPr>
        <w:autoSpaceDE w:val="0"/>
        <w:autoSpaceDN w:val="0"/>
        <w:adjustRightInd w:val="0"/>
        <w:ind w:left="5669" w:firstLine="720"/>
        <w:jc w:val="center"/>
      </w:pPr>
      <w:r w:rsidRPr="00DF3260">
        <w:t xml:space="preserve">приказом Департамента </w:t>
      </w:r>
    </w:p>
    <w:p w:rsidR="00DF3260" w:rsidRPr="00DF3260" w:rsidRDefault="00DF3260" w:rsidP="00DF3260">
      <w:pPr>
        <w:autoSpaceDE w:val="0"/>
        <w:autoSpaceDN w:val="0"/>
        <w:adjustRightInd w:val="0"/>
        <w:ind w:left="5669" w:firstLine="720"/>
        <w:jc w:val="center"/>
      </w:pPr>
      <w:r w:rsidRPr="00DF3260">
        <w:t xml:space="preserve">социальной политики </w:t>
      </w:r>
    </w:p>
    <w:p w:rsidR="00DF3260" w:rsidRPr="00DF3260" w:rsidRDefault="00DF3260" w:rsidP="00DF3260">
      <w:pPr>
        <w:autoSpaceDE w:val="0"/>
        <w:autoSpaceDN w:val="0"/>
        <w:adjustRightInd w:val="0"/>
        <w:ind w:left="5669" w:firstLine="720"/>
        <w:jc w:val="center"/>
      </w:pPr>
      <w:r w:rsidRPr="00DF3260">
        <w:t>Чукотского автономного округа</w:t>
      </w:r>
    </w:p>
    <w:p w:rsidR="00DF3260" w:rsidRPr="00DF3260" w:rsidRDefault="00DF3260" w:rsidP="00DF3260">
      <w:pPr>
        <w:autoSpaceDE w:val="0"/>
        <w:autoSpaceDN w:val="0"/>
        <w:adjustRightInd w:val="0"/>
        <w:ind w:left="5669" w:firstLine="720"/>
        <w:jc w:val="center"/>
      </w:pPr>
      <w:r w:rsidRPr="00DF3260">
        <w:t>от «</w:t>
      </w:r>
      <w:r w:rsidR="00A80335">
        <w:t>30</w:t>
      </w:r>
      <w:r w:rsidRPr="00DF3260">
        <w:t xml:space="preserve">» </w:t>
      </w:r>
      <w:r w:rsidR="00A80335">
        <w:t>декабря</w:t>
      </w:r>
      <w:r w:rsidRPr="00DF3260">
        <w:t xml:space="preserve"> 20</w:t>
      </w:r>
      <w:r>
        <w:t>20</w:t>
      </w:r>
      <w:r w:rsidRPr="00DF3260">
        <w:t xml:space="preserve"> № </w:t>
      </w:r>
      <w:r w:rsidR="00A80335">
        <w:t>1468</w:t>
      </w:r>
    </w:p>
    <w:p w:rsidR="00DF3260" w:rsidRPr="00DF3260" w:rsidRDefault="00DF3260" w:rsidP="00DF3260">
      <w:pPr>
        <w:autoSpaceDE w:val="0"/>
        <w:autoSpaceDN w:val="0"/>
        <w:adjustRightInd w:val="0"/>
        <w:spacing w:after="200" w:line="276" w:lineRule="auto"/>
        <w:ind w:firstLine="720"/>
        <w:rPr>
          <w:sz w:val="28"/>
          <w:szCs w:val="28"/>
        </w:rPr>
      </w:pPr>
    </w:p>
    <w:p w:rsidR="00DF3260" w:rsidRPr="00DF3260" w:rsidRDefault="00DF3260" w:rsidP="00DF3260">
      <w:pPr>
        <w:spacing w:after="200" w:line="276" w:lineRule="auto"/>
      </w:pPr>
      <w:bookmarkStart w:id="2" w:name="P32"/>
      <w:bookmarkEnd w:id="2"/>
    </w:p>
    <w:p w:rsidR="00DF3260" w:rsidRPr="00DF3260" w:rsidRDefault="00DF3260" w:rsidP="00DF326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F3260">
        <w:rPr>
          <w:b/>
          <w:bCs/>
          <w:sz w:val="26"/>
          <w:szCs w:val="26"/>
        </w:rPr>
        <w:t xml:space="preserve">Ключевые показатели эффективности функционирования </w:t>
      </w:r>
    </w:p>
    <w:p w:rsidR="00DF3260" w:rsidRPr="00DF3260" w:rsidRDefault="00DF3260" w:rsidP="00DF326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F3260">
        <w:rPr>
          <w:b/>
          <w:bCs/>
          <w:sz w:val="26"/>
          <w:szCs w:val="26"/>
        </w:rPr>
        <w:t xml:space="preserve">в Департаменте социальной политики Чукотского автономного округа антимонопольного </w:t>
      </w:r>
      <w:proofErr w:type="spellStart"/>
      <w:r w:rsidRPr="00DF3260">
        <w:rPr>
          <w:b/>
          <w:bCs/>
          <w:sz w:val="26"/>
          <w:szCs w:val="26"/>
        </w:rPr>
        <w:t>комплаенса</w:t>
      </w:r>
      <w:proofErr w:type="spellEnd"/>
      <w:r>
        <w:rPr>
          <w:b/>
          <w:bCs/>
          <w:sz w:val="26"/>
          <w:szCs w:val="26"/>
        </w:rPr>
        <w:t xml:space="preserve"> на 2021 год</w:t>
      </w:r>
    </w:p>
    <w:p w:rsidR="00DF3260" w:rsidRPr="00DF3260" w:rsidRDefault="00DF3260" w:rsidP="00DF3260">
      <w:pPr>
        <w:spacing w:after="200" w:line="276" w:lineRule="auto"/>
        <w:rPr>
          <w:sz w:val="26"/>
          <w:szCs w:val="2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7278"/>
        <w:gridCol w:w="1955"/>
      </w:tblGrid>
      <w:tr w:rsidR="00DF3260" w:rsidRPr="00DF3260" w:rsidTr="00004DF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F326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F3260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F3260">
              <w:rPr>
                <w:b/>
                <w:bCs/>
                <w:sz w:val="26"/>
                <w:szCs w:val="26"/>
              </w:rPr>
              <w:t xml:space="preserve">Значение показателя </w:t>
            </w:r>
          </w:p>
        </w:tc>
      </w:tr>
      <w:tr w:rsidR="00DF3260" w:rsidRPr="00DF3260" w:rsidTr="00004DF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3260">
              <w:rPr>
                <w:sz w:val="26"/>
                <w:szCs w:val="26"/>
              </w:rPr>
              <w:t>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3260">
              <w:rPr>
                <w:sz w:val="26"/>
                <w:szCs w:val="26"/>
              </w:rPr>
              <w:t xml:space="preserve">Коэффициент снижения количества нарушений </w:t>
            </w:r>
            <w:hyperlink r:id="rId11" w:history="1">
              <w:r w:rsidRPr="00DF3260">
                <w:rPr>
                  <w:sz w:val="26"/>
                  <w:szCs w:val="26"/>
                </w:rPr>
                <w:t>антимонопольного законодательства</w:t>
              </w:r>
            </w:hyperlink>
            <w:r w:rsidRPr="00DF3260">
              <w:rPr>
                <w:sz w:val="26"/>
                <w:szCs w:val="26"/>
              </w:rPr>
              <w:t xml:space="preserve"> со стороны Департамента (по сравнению с предыдущим периодом)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22035B" w:rsidP="00DF3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F3260" w:rsidRPr="00DF3260" w:rsidTr="00004DF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3260">
              <w:rPr>
                <w:sz w:val="26"/>
                <w:szCs w:val="26"/>
              </w:rPr>
              <w:t>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3260">
              <w:rPr>
                <w:sz w:val="26"/>
                <w:szCs w:val="26"/>
              </w:rPr>
              <w:t xml:space="preserve">Доля проектов нормативных правовых актов Департамента, разработчиком которых является Департамент, в которых выявлены риски нарушения </w:t>
            </w:r>
            <w:hyperlink r:id="rId12" w:history="1">
              <w:r w:rsidRPr="00DF3260">
                <w:rPr>
                  <w:sz w:val="26"/>
                  <w:szCs w:val="26"/>
                </w:rPr>
                <w:t>антимонопольного законодательства</w:t>
              </w:r>
            </w:hyperlink>
            <w:r w:rsidRPr="00DF3260">
              <w:rPr>
                <w:sz w:val="26"/>
                <w:szCs w:val="26"/>
              </w:rPr>
              <w:t>, 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3260">
              <w:rPr>
                <w:sz w:val="26"/>
                <w:szCs w:val="26"/>
              </w:rPr>
              <w:t>0</w:t>
            </w:r>
          </w:p>
        </w:tc>
      </w:tr>
      <w:tr w:rsidR="00DF3260" w:rsidRPr="00DF3260" w:rsidTr="00004DF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3260">
              <w:rPr>
                <w:sz w:val="26"/>
                <w:szCs w:val="26"/>
              </w:rPr>
              <w:t>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3260">
              <w:rPr>
                <w:sz w:val="26"/>
                <w:szCs w:val="26"/>
              </w:rPr>
              <w:t xml:space="preserve">Доля нормативных правовых актов Департамента, разработчиком которых является Департамент, в которых выявлены риски нарушения </w:t>
            </w:r>
            <w:hyperlink r:id="rId13" w:history="1">
              <w:r w:rsidRPr="00DF3260">
                <w:rPr>
                  <w:sz w:val="26"/>
                  <w:szCs w:val="26"/>
                </w:rPr>
                <w:t>антимонопольного законодательства</w:t>
              </w:r>
            </w:hyperlink>
            <w:r w:rsidRPr="00DF3260">
              <w:rPr>
                <w:sz w:val="26"/>
                <w:szCs w:val="26"/>
              </w:rPr>
              <w:t>, 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DF3260" w:rsidRPr="00DF3260" w:rsidRDefault="00DF3260" w:rsidP="00DF3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3260">
              <w:rPr>
                <w:sz w:val="26"/>
                <w:szCs w:val="26"/>
              </w:rPr>
              <w:t>0</w:t>
            </w:r>
          </w:p>
        </w:tc>
      </w:tr>
    </w:tbl>
    <w:p w:rsidR="00DF3260" w:rsidRPr="00DF3260" w:rsidRDefault="00DF3260" w:rsidP="00DF3260">
      <w:pPr>
        <w:spacing w:after="200" w:line="276" w:lineRule="auto"/>
        <w:rPr>
          <w:sz w:val="26"/>
          <w:szCs w:val="26"/>
        </w:rPr>
      </w:pPr>
    </w:p>
    <w:p w:rsidR="00BA4B92" w:rsidRPr="00686551" w:rsidRDefault="00BA4B92" w:rsidP="00686551"/>
    <w:sectPr w:rsidR="00BA4B92" w:rsidRPr="00686551" w:rsidSect="00C106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C1" w:rsidRDefault="00B828C1">
      <w:r>
        <w:separator/>
      </w:r>
    </w:p>
  </w:endnote>
  <w:endnote w:type="continuationSeparator" w:id="0">
    <w:p w:rsidR="00B828C1" w:rsidRDefault="00B8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C1" w:rsidRDefault="00B828C1">
      <w:r>
        <w:separator/>
      </w:r>
    </w:p>
  </w:footnote>
  <w:footnote w:type="continuationSeparator" w:id="0">
    <w:p w:rsidR="00B828C1" w:rsidRDefault="00B8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1263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035B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0B88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5F2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335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4446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8C1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3260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48517.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48517.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17.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E616-298C-49BA-89FE-500412DB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org</cp:lastModifiedBy>
  <cp:revision>8</cp:revision>
  <cp:lastPrinted>2015-10-26T23:56:00Z</cp:lastPrinted>
  <dcterms:created xsi:type="dcterms:W3CDTF">2017-03-09T22:24:00Z</dcterms:created>
  <dcterms:modified xsi:type="dcterms:W3CDTF">2021-04-06T06:41:00Z</dcterms:modified>
</cp:coreProperties>
</file>