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539615" cy="10801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29.04.2021 года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432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255" w:type="dxa"/>
        <w:jc w:val="left"/>
        <w:tblInd w:w="1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5"/>
      </w:tblGrid>
      <w:tr>
        <w:trPr/>
        <w:tc>
          <w:tcPr>
            <w:tcW w:w="4255" w:type="dxa"/>
            <w:tcBorders/>
            <w:shd w:color="auto" w:fill="auto" w:val="clear"/>
          </w:tcPr>
          <w:p>
            <w:pPr>
              <w:pStyle w:val="12"/>
              <w:numPr>
                <w:ilvl w:val="0"/>
                <w:numId w:val="0"/>
              </w:numPr>
              <w:spacing w:lineRule="auto" w:line="240"/>
              <w:ind w:hanging="0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ind w:firstLine="851"/>
        <w:rPr/>
      </w:pPr>
      <w:r>
        <w:rPr>
          <w:sz w:val="26"/>
          <w:szCs w:val="26"/>
        </w:rPr>
        <w:t>В соответствии с Федеральным законом от 25 декабря 2008 года № 273-ФЗ «О противодействии коррупции», Указом Президента Российской Федерации от 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Письмом Федерального государственного автономного образовательного учреждения высшего образования «Северо-Восточный федеральный университет имени М.К. Амосова» от 17 декабря 2020 года № 244,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hanging="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Normal"/>
        <w:rPr/>
      </w:pPr>
      <w:r>
        <w:rPr>
          <w:color w:val="00000A"/>
          <w:sz w:val="26"/>
          <w:szCs w:val="26"/>
        </w:rPr>
        <w:tab/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12"/>
        <w:numPr>
          <w:ilvl w:val="0"/>
          <w:numId w:val="1"/>
        </w:numPr>
        <w:spacing w:lineRule="auto" w:line="240"/>
        <w:ind w:left="0" w:firstLine="850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22 декабря 2020 года № 1401 «Об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интересов» считать утратившим силу.</w:t>
      </w:r>
    </w:p>
    <w:p>
      <w:pPr>
        <w:pStyle w:val="12"/>
        <w:numPr>
          <w:ilvl w:val="0"/>
          <w:numId w:val="1"/>
        </w:numPr>
        <w:spacing w:lineRule="auto" w:line="240" w:before="0" w:after="120"/>
        <w:ind w:left="0" w:firstLine="720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  <w:t>Вставить ЭП</w:t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12"/>
        <w:tabs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12"/>
        <w:spacing w:lineRule="auto" w:line="240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29.04.</w:t>
      </w:r>
      <w:r>
        <w:rPr>
          <w:sz w:val="22"/>
          <w:szCs w:val="22"/>
        </w:rPr>
        <w:t>2021года  №</w:t>
      </w:r>
      <w:r>
        <w:rPr>
          <w:sz w:val="22"/>
          <w:szCs w:val="22"/>
        </w:rPr>
        <w:t>432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p>
      <w:pPr>
        <w:pStyle w:val="12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745" w:type="dxa"/>
        <w:jc w:val="left"/>
        <w:tblInd w:w="120" w:type="dxa"/>
        <w:tblBorders/>
        <w:tblCellMar>
          <w:top w:w="0" w:type="dxa"/>
          <w:left w:w="113" w:type="dxa"/>
          <w:bottom w:w="34" w:type="dxa"/>
          <w:right w:w="108" w:type="dxa"/>
        </w:tblCellMar>
        <w:tblLook w:val="01e0"/>
      </w:tblPr>
      <w:tblGrid>
        <w:gridCol w:w="2980"/>
        <w:gridCol w:w="341"/>
        <w:gridCol w:w="6424"/>
      </w:tblGrid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 xml:space="preserve">Зубарева 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Елена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заместитель начальника Департамента социальной политики Чукотского автономного округа, начальник Управления занятости населения, председатель комиссии;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Коновалова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Татьяна Геннадьевна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начальник о</w:t>
            </w:r>
            <w:r>
              <w:rPr>
                <w:color w:val="00000A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Cs w:val="24"/>
              </w:rPr>
              <w:t>, заместитель председателя комиссии;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color w:val="00000A"/>
                <w:szCs w:val="24"/>
              </w:rPr>
              <w:t>Сиротин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color w:val="00000A"/>
                <w:szCs w:val="24"/>
              </w:rPr>
              <w:t>Виктор Михайлович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ведущий юрисконсульт о</w:t>
            </w:r>
            <w:r>
              <w:rPr>
                <w:color w:val="00000A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Cs w:val="24"/>
              </w:rPr>
              <w:t>, секретарь комиссии.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7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Члены комиссии: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uppressAutoHyphens w:val="true"/>
              <w:rPr/>
            </w:pPr>
            <w:r>
              <w:rPr/>
              <w:t>Жданова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uppressAutoHyphens w:val="true"/>
              <w:rPr/>
            </w:pPr>
            <w:r>
              <w:rPr/>
              <w:t>Наталья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jc w:val="both"/>
              <w:rPr/>
            </w:pPr>
            <w:r>
              <w:rPr/>
              <w:t>заместитель начальника Департамента социальной политики Чукотского автономного округа, начальник Финансово-экономического управления;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</w:rPr>
              <w:t>Шарафутдинова</w:t>
            </w:r>
          </w:p>
          <w:p>
            <w:pPr>
              <w:pStyle w:val="Normal"/>
              <w:rPr/>
            </w:pPr>
            <w:r>
              <w:rPr>
                <w:bCs/>
              </w:rPr>
              <w:t>Светлана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заместитель начальника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Логутенко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Наталья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Павлюкевич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Елена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A"/>
              </w:rPr>
              <w:t xml:space="preserve">Зиберт </w:t>
            </w:r>
          </w:p>
          <w:p>
            <w:pPr>
              <w:pStyle w:val="Normal"/>
              <w:rPr/>
            </w:pPr>
            <w:r>
              <w:rPr>
                <w:color w:val="00000A"/>
              </w:rPr>
              <w:t>Екатерина Владимировна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A"/>
              </w:rPr>
              <w:t xml:space="preserve">председатель Общественной палаты Чукотского автономного округа </w:t>
            </w:r>
            <w:bookmarkStart w:id="0" w:name="__DdeLink__756_1788769098"/>
            <w:r>
              <w:rPr>
                <w:color w:val="00000A"/>
              </w:rPr>
              <w:t>(по согласованию)</w:t>
            </w:r>
            <w:bookmarkEnd w:id="0"/>
            <w:r>
              <w:rPr>
                <w:color w:val="00000A"/>
              </w:rPr>
              <w:t>;</w:t>
            </w:r>
          </w:p>
        </w:tc>
      </w:tr>
      <w:tr>
        <w:trPr>
          <w:trHeight w:val="1608" w:hRule="atLeast"/>
        </w:trPr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Талызин</w:t>
            </w:r>
          </w:p>
          <w:p>
            <w:pPr>
              <w:pStyle w:val="Normal"/>
              <w:rPr/>
            </w:pPr>
            <w:r>
              <w:rPr/>
              <w:t>Олег Георгиевич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(по согласованию);</w:t>
            </w:r>
          </w:p>
        </w:tc>
      </w:tr>
      <w:tr>
        <w:trPr>
          <w:trHeight w:val="1394" w:hRule="atLeast"/>
        </w:trPr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Карпан</w:t>
            </w:r>
          </w:p>
          <w:p>
            <w:pPr>
              <w:pStyle w:val="Normal"/>
              <w:rPr/>
            </w:pPr>
            <w:r>
              <w:rPr/>
              <w:t>Владимир Васильевич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и.о. заведующего кафедрой «Общее дисциплины </w:t>
            </w:r>
            <w:r>
              <w:rPr>
                <w:color w:val="00000A"/>
              </w:rPr>
              <w:t>Чукотского филиала ФГАОУВО «Северо-Восточного федерального университета им. М.К. Аммосова» (по согласованию).</w:t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link w:val="2"/>
    <w:qFormat/>
    <w:rsid w:val="008613d5"/>
    <w:pPr>
      <w:keepNext/>
      <w:outlineLvl w:val="1"/>
    </w:pPr>
    <w:rPr>
      <w:sz w:val="28"/>
      <w:szCs w:val="20"/>
    </w:rPr>
  </w:style>
  <w:style w:type="paragraph" w:styleId="3" w:customStyle="1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link w:val="8"/>
    <w:qFormat/>
    <w:rsid w:val="008613d5"/>
    <w:pPr>
      <w:keepNext/>
      <w:outlineLvl w:val="7"/>
    </w:pPr>
    <w:rPr>
      <w:sz w:val="26"/>
      <w:szCs w:val="20"/>
    </w:rPr>
  </w:style>
  <w:style w:type="paragraph" w:styleId="9" w:customStyle="1">
    <w:name w:val="Heading 9"/>
    <w:basedOn w:val="Normal"/>
    <w:link w:val="9"/>
    <w:qFormat/>
    <w:rsid w:val="008613d5"/>
    <w:pPr>
      <w:keepNext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c91a60"/>
    <w:rPr>
      <w:rFonts w:eastAsia="Times New Roman" w:cs="Times New Roman"/>
    </w:rPr>
  </w:style>
  <w:style w:type="character" w:styleId="ListLabel2" w:customStyle="1">
    <w:name w:val="ListLabel 2"/>
    <w:qFormat/>
    <w:rsid w:val="00c91a60"/>
    <w:rPr>
      <w:rFonts w:eastAsia="Times New Roman" w:cs="Times New Roman"/>
    </w:rPr>
  </w:style>
  <w:style w:type="character" w:styleId="ListLabel3" w:customStyle="1">
    <w:name w:val="ListLabel 3"/>
    <w:qFormat/>
    <w:rsid w:val="00c91a60"/>
    <w:rPr>
      <w:rFonts w:cs="Courier New"/>
    </w:rPr>
  </w:style>
  <w:style w:type="character" w:styleId="ListLabel4" w:customStyle="1">
    <w:name w:val="ListLabel 4"/>
    <w:qFormat/>
    <w:rsid w:val="00c91a60"/>
    <w:rPr>
      <w:rFonts w:cs="Courier New"/>
    </w:rPr>
  </w:style>
  <w:style w:type="character" w:styleId="ListLabel5" w:customStyle="1">
    <w:name w:val="ListLabel 5"/>
    <w:qFormat/>
    <w:rsid w:val="00c91a60"/>
    <w:rPr>
      <w:rFonts w:cs="Courier New"/>
    </w:rPr>
  </w:style>
  <w:style w:type="character" w:styleId="ListLabel6" w:customStyle="1">
    <w:name w:val="ListLabel 6"/>
    <w:qFormat/>
    <w:rsid w:val="00c91a60"/>
    <w:rPr>
      <w:rFonts w:cs="Courier New"/>
    </w:rPr>
  </w:style>
  <w:style w:type="character" w:styleId="ListLabel7" w:customStyle="1">
    <w:name w:val="ListLabel 7"/>
    <w:qFormat/>
    <w:rsid w:val="00c91a60"/>
    <w:rPr>
      <w:rFonts w:cs="Courier New"/>
    </w:rPr>
  </w:style>
  <w:style w:type="character" w:styleId="ListLabel8" w:customStyle="1">
    <w:name w:val="ListLabel 8"/>
    <w:qFormat/>
    <w:rsid w:val="00c91a60"/>
    <w:rPr>
      <w:rFonts w:cs="Courier New"/>
    </w:rPr>
  </w:style>
  <w:style w:type="character" w:styleId="ListLabel9" w:customStyle="1">
    <w:name w:val="ListLabel 9"/>
    <w:qFormat/>
    <w:rsid w:val="00c91a60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c91a60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c91a60"/>
    <w:rPr>
      <w:rFonts w:eastAsia="Times New Roman" w:cs="Times New Roman"/>
    </w:rPr>
  </w:style>
  <w:style w:type="character" w:styleId="ListLabel12" w:customStyle="1">
    <w:name w:val="ListLabel 12"/>
    <w:qFormat/>
    <w:rsid w:val="00c91a60"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rsid w:val="00c91a60"/>
    <w:pPr/>
    <w:rPr>
      <w:rFonts w:cs="Mangal"/>
    </w:rPr>
  </w:style>
  <w:style w:type="paragraph" w:styleId="Style17" w:customStyle="1">
    <w:name w:val="Caption"/>
    <w:basedOn w:val="Normal"/>
    <w:qFormat/>
    <w:rsid w:val="00c91a60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91a60"/>
    <w:pPr>
      <w:suppressLineNumbers/>
    </w:pPr>
    <w:rPr>
      <w:rFonts w:cs="Mangal"/>
    </w:rPr>
  </w:style>
  <w:style w:type="paragraph" w:styleId="Style19" w:customStyle="1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7" w:customStyle="1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LibreOffice/5.4.0.3$Windows_x86 LibreOffice_project/7556cbc6811c9d992f4064ab9287069087d7f62c</Application>
  <Pages>2</Pages>
  <Words>378</Words>
  <Characters>3155</Characters>
  <CharactersWithSpaces>3491</CharactersWithSpaces>
  <Paragraphs>62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2021-04-30T11:38:23Z</cp:lastPrinted>
  <dcterms:modified xsi:type="dcterms:W3CDTF">2021-04-30T11:38:18Z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