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8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030"/>
        <w:gridCol w:w="284"/>
        <w:gridCol w:w="425"/>
        <w:gridCol w:w="1134"/>
        <w:gridCol w:w="4215"/>
      </w:tblGrid>
      <w:tr w:rsidR="005643FC" w:rsidRPr="008A0055" w:rsidTr="00F929B3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030" w:type="dxa"/>
            <w:vAlign w:val="center"/>
          </w:tcPr>
          <w:p w:rsidR="005643FC" w:rsidRPr="008A0055" w:rsidRDefault="00356C63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 декабря 2022 год</w:t>
            </w:r>
            <w:r w:rsidR="00065959">
              <w:rPr>
                <w:b/>
                <w:bCs/>
                <w:sz w:val="26"/>
                <w:szCs w:val="26"/>
              </w:rPr>
              <w:t>а</w:t>
            </w: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34" w:type="dxa"/>
            <w:vAlign w:val="center"/>
          </w:tcPr>
          <w:p w:rsidR="005643FC" w:rsidRPr="008A0055" w:rsidRDefault="00356C63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1357</w:t>
            </w:r>
          </w:p>
        </w:tc>
        <w:tc>
          <w:tcPr>
            <w:tcW w:w="4215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F929B3" w:rsidRDefault="00F929B3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4035"/>
      </w:tblGrid>
      <w:tr w:rsidR="005643FC" w:rsidRPr="009316C1" w:rsidTr="00F929B3">
        <w:tc>
          <w:tcPr>
            <w:tcW w:w="5637" w:type="dxa"/>
          </w:tcPr>
          <w:p w:rsidR="005643FC" w:rsidRPr="009316C1" w:rsidRDefault="00F929B3" w:rsidP="00307725">
            <w:pPr>
              <w:jc w:val="both"/>
              <w:outlineLvl w:val="2"/>
              <w:rPr>
                <w:sz w:val="26"/>
                <w:szCs w:val="26"/>
              </w:rPr>
            </w:pPr>
            <w:r w:rsidRPr="00CF08F2">
              <w:rPr>
                <w:sz w:val="26"/>
                <w:szCs w:val="26"/>
              </w:rPr>
              <w:t>Об утверждении плана мероприятий («дорожная карта») по снижению рисков нарушения антимонопольного законодательства Департамента социальной политики Чукотского автономного округа на 202</w:t>
            </w:r>
            <w:r>
              <w:rPr>
                <w:sz w:val="26"/>
                <w:szCs w:val="26"/>
              </w:rPr>
              <w:t xml:space="preserve">3 </w:t>
            </w:r>
            <w:r w:rsidRPr="00CF08F2">
              <w:rPr>
                <w:sz w:val="26"/>
                <w:szCs w:val="26"/>
              </w:rPr>
              <w:t>год</w:t>
            </w:r>
          </w:p>
        </w:tc>
        <w:tc>
          <w:tcPr>
            <w:tcW w:w="4075" w:type="dxa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F929B3" w:rsidRPr="000D2735" w:rsidRDefault="00F929B3" w:rsidP="005643FC">
      <w:pPr>
        <w:jc w:val="both"/>
        <w:rPr>
          <w:sz w:val="28"/>
          <w:szCs w:val="28"/>
        </w:rPr>
      </w:pP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утверждёнными Распоряжением Правительства Российской Феде</w:t>
      </w:r>
      <w:r w:rsidR="00F87D63">
        <w:rPr>
          <w:sz w:val="26"/>
          <w:szCs w:val="26"/>
        </w:rPr>
        <w:t>рации от 18 октября 2018 года № </w:t>
      </w:r>
      <w:r w:rsidRPr="008A6C5B">
        <w:rPr>
          <w:sz w:val="26"/>
          <w:szCs w:val="26"/>
        </w:rPr>
        <w:t xml:space="preserve">2258-р и 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 </w:t>
      </w:r>
    </w:p>
    <w:p w:rsidR="003D2DD3" w:rsidRPr="000D2735" w:rsidRDefault="00065959" w:rsidP="005643FC">
      <w:pPr>
        <w:rPr>
          <w:sz w:val="28"/>
          <w:szCs w:val="28"/>
        </w:rPr>
      </w:pPr>
    </w:p>
    <w:p w:rsidR="005643FC" w:rsidRPr="000D2735" w:rsidRDefault="005643FC" w:rsidP="005643FC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5643FC" w:rsidRPr="000D2735" w:rsidRDefault="005643FC" w:rsidP="005643FC">
      <w:pPr>
        <w:rPr>
          <w:sz w:val="28"/>
          <w:szCs w:val="28"/>
        </w:rPr>
      </w:pP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1. Утвердить прилагаемый план мероприятий («дорожную карту») по снижению рисков нарушения антимонопольного законодательства Департамента социальной политики Чукотского автономного округа (далее – Департамент) на 2023 год.</w:t>
      </w: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2. Отделу административно-организационной и правовой работы Департамента (Крупин</w:t>
      </w:r>
      <w:r w:rsidR="00F87D63">
        <w:rPr>
          <w:sz w:val="26"/>
          <w:szCs w:val="26"/>
        </w:rPr>
        <w:t>у</w:t>
      </w:r>
      <w:r w:rsidRPr="008A6C5B">
        <w:rPr>
          <w:sz w:val="26"/>
          <w:szCs w:val="26"/>
        </w:rPr>
        <w:t xml:space="preserve"> А.В.):</w:t>
      </w: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 xml:space="preserve">1) разместить настоящий приказ на официальном сайте Департамента в </w:t>
      </w:r>
      <w:r w:rsidR="003518B3">
        <w:rPr>
          <w:sz w:val="26"/>
          <w:szCs w:val="26"/>
        </w:rPr>
        <w:t xml:space="preserve">информационно-телекоммуникационной </w:t>
      </w:r>
      <w:r w:rsidRPr="008A6C5B">
        <w:rPr>
          <w:sz w:val="26"/>
          <w:szCs w:val="26"/>
        </w:rPr>
        <w:t>сети «Интернет»;</w:t>
      </w: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2) обеспечить ознакомление с настоящим приказом начальников структурных подразделений Департамента.</w:t>
      </w:r>
    </w:p>
    <w:p w:rsidR="00F929B3" w:rsidRPr="008A6C5B" w:rsidRDefault="00F929B3" w:rsidP="00F929B3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3. Контроль за исполнением настоящего приказа оставляю за собой.</w:t>
      </w: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F929B3" w:rsidRDefault="000D2735" w:rsidP="00356C6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B3" w:rsidRDefault="00F929B3" w:rsidP="00C05885">
      <w:pPr>
        <w:pStyle w:val="3"/>
        <w:spacing w:after="0"/>
        <w:ind w:left="709" w:firstLine="851"/>
        <w:jc w:val="both"/>
        <w:rPr>
          <w:sz w:val="28"/>
          <w:szCs w:val="28"/>
        </w:rPr>
        <w:sectPr w:rsidR="00F929B3" w:rsidSect="005643FC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Style w:val="a5"/>
        <w:tblW w:w="4644" w:type="dxa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929B3" w:rsidRPr="008A6C5B" w:rsidTr="00F929B3">
        <w:trPr>
          <w:trHeight w:val="1251"/>
        </w:trPr>
        <w:tc>
          <w:tcPr>
            <w:tcW w:w="4644" w:type="dxa"/>
          </w:tcPr>
          <w:p w:rsidR="00F929B3" w:rsidRPr="008A6C5B" w:rsidRDefault="00F929B3" w:rsidP="00EF4B6E">
            <w:pPr>
              <w:jc w:val="center"/>
              <w:outlineLvl w:val="2"/>
            </w:pPr>
            <w:r w:rsidRPr="008A6C5B">
              <w:lastRenderedPageBreak/>
              <w:t>УТВЕРЖД</w:t>
            </w:r>
            <w:r>
              <w:t>Ё</w:t>
            </w:r>
            <w:r w:rsidRPr="008A6C5B">
              <w:t>Н</w:t>
            </w:r>
          </w:p>
          <w:p w:rsidR="00F929B3" w:rsidRPr="008A6C5B" w:rsidRDefault="00F929B3" w:rsidP="00EF4B6E">
            <w:pPr>
              <w:jc w:val="center"/>
              <w:outlineLvl w:val="2"/>
            </w:pPr>
            <w:r w:rsidRPr="008A6C5B">
              <w:t>Приказом Департамента социальной политики Чукотского автономного округа</w:t>
            </w:r>
          </w:p>
          <w:p w:rsidR="00F929B3" w:rsidRPr="008A6C5B" w:rsidRDefault="00F929B3" w:rsidP="00EF4B6E">
            <w:pPr>
              <w:jc w:val="center"/>
              <w:outlineLvl w:val="2"/>
            </w:pPr>
            <w:r w:rsidRPr="008A6C5B">
              <w:t xml:space="preserve">от </w:t>
            </w:r>
            <w:r>
              <w:t xml:space="preserve">________ </w:t>
            </w:r>
            <w:r w:rsidRPr="008A6C5B">
              <w:t>202</w:t>
            </w:r>
            <w:r>
              <w:t xml:space="preserve">2 года </w:t>
            </w:r>
            <w:r w:rsidRPr="008A6C5B">
              <w:t xml:space="preserve">№ </w:t>
            </w:r>
            <w:r>
              <w:t>____</w:t>
            </w:r>
          </w:p>
        </w:tc>
      </w:tr>
    </w:tbl>
    <w:p w:rsidR="00F929B3" w:rsidRPr="008A6C5B" w:rsidRDefault="00F929B3" w:rsidP="00F929B3">
      <w:pPr>
        <w:outlineLvl w:val="2"/>
      </w:pPr>
    </w:p>
    <w:p w:rsidR="00F929B3" w:rsidRDefault="00F929B3" w:rsidP="00F929B3">
      <w:pPr>
        <w:jc w:val="center"/>
        <w:outlineLvl w:val="2"/>
        <w:rPr>
          <w:b/>
          <w:bCs/>
          <w:sz w:val="23"/>
          <w:szCs w:val="23"/>
        </w:rPr>
      </w:pPr>
      <w:bookmarkStart w:id="1" w:name="P32"/>
      <w:bookmarkEnd w:id="1"/>
      <w:r w:rsidRPr="003B08C1">
        <w:rPr>
          <w:b/>
          <w:bCs/>
          <w:sz w:val="23"/>
          <w:szCs w:val="23"/>
        </w:rPr>
        <w:t>План мероприятий («дорожная карта»)</w:t>
      </w:r>
    </w:p>
    <w:p w:rsidR="00F929B3" w:rsidRDefault="00F929B3" w:rsidP="00F929B3">
      <w:pPr>
        <w:jc w:val="center"/>
        <w:outlineLvl w:val="2"/>
        <w:rPr>
          <w:b/>
          <w:bCs/>
          <w:sz w:val="23"/>
          <w:szCs w:val="23"/>
        </w:rPr>
      </w:pPr>
      <w:r w:rsidRPr="003B08C1">
        <w:rPr>
          <w:b/>
          <w:bCs/>
          <w:sz w:val="23"/>
          <w:szCs w:val="23"/>
        </w:rPr>
        <w:t>по снижению рисков нарушения антимонопольного законодательстваДепартамента социальной политики Чукотского автономного округа</w:t>
      </w:r>
    </w:p>
    <w:p w:rsidR="00F929B3" w:rsidRPr="003B08C1" w:rsidRDefault="00F929B3" w:rsidP="00F929B3">
      <w:pPr>
        <w:jc w:val="center"/>
        <w:outlineLvl w:val="2"/>
        <w:rPr>
          <w:b/>
          <w:bCs/>
          <w:sz w:val="23"/>
          <w:szCs w:val="23"/>
        </w:rPr>
      </w:pPr>
      <w:r w:rsidRPr="003B08C1">
        <w:rPr>
          <w:b/>
          <w:bCs/>
          <w:sz w:val="23"/>
          <w:szCs w:val="23"/>
        </w:rPr>
        <w:t>на 2023 год</w:t>
      </w:r>
    </w:p>
    <w:p w:rsidR="00F929B3" w:rsidRPr="0074431C" w:rsidRDefault="00F929B3" w:rsidP="00F929B3">
      <w:pPr>
        <w:outlineLvl w:val="2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3"/>
        <w:gridCol w:w="3694"/>
        <w:gridCol w:w="3694"/>
        <w:gridCol w:w="2133"/>
        <w:gridCol w:w="1706"/>
        <w:gridCol w:w="3337"/>
      </w:tblGrid>
      <w:tr w:rsidR="00F929B3" w:rsidRPr="003B08C1" w:rsidTr="00F929B3">
        <w:tc>
          <w:tcPr>
            <w:tcW w:w="186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21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Риск (согласно карте риска)</w:t>
            </w:r>
          </w:p>
        </w:tc>
        <w:tc>
          <w:tcPr>
            <w:tcW w:w="1221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Мероприятия, направленные на минимизацию и устранение рисков</w:t>
            </w:r>
          </w:p>
        </w:tc>
        <w:tc>
          <w:tcPr>
            <w:tcW w:w="705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Ответственный исполнитель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(структурное подразделение)</w:t>
            </w:r>
          </w:p>
        </w:tc>
        <w:tc>
          <w:tcPr>
            <w:tcW w:w="564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04" w:type="pct"/>
            <w:vAlign w:val="center"/>
          </w:tcPr>
          <w:p w:rsidR="00F929B3" w:rsidRPr="003B08C1" w:rsidRDefault="00F929B3" w:rsidP="00EF4B6E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3B08C1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F929B3" w:rsidRPr="003B08C1" w:rsidTr="00F929B3">
        <w:tc>
          <w:tcPr>
            <w:tcW w:w="186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1.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 организации и проведении закупок товаров, работ, услуг для государственных нужд: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координация деятельности участников закупки;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нарушение порядка определения победителя закупки;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нарушение порядка определения начальной (максимальной) цены государственного контракта.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Систематическое повышение квалификации работников Департамента (специалистов по закупкам);</w:t>
            </w:r>
          </w:p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мониторинг и анализ изменений, вносимых в законодательство о контрактной системе в сфере закупок;</w:t>
            </w:r>
          </w:p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мониторинг и анализ применения антимонопольного законодательства;</w:t>
            </w:r>
          </w:p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принятие мер, исключающих доступ хозяйствующих субъектов к информации в приоритетном порядке;</w:t>
            </w:r>
          </w:p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принятие мер по недопущению конфликта интересов, согласованных действий, ущемляющих права хозяйствующих субъектов;</w:t>
            </w:r>
          </w:p>
          <w:p w:rsidR="00F929B3" w:rsidRPr="003B08C1" w:rsidRDefault="00F929B3" w:rsidP="00EF4B6E">
            <w:pPr>
              <w:ind w:firstLine="316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контроль со стороны руководства за соблюдением требований законодательства в сфере закупок.</w:t>
            </w:r>
          </w:p>
        </w:tc>
        <w:tc>
          <w:tcPr>
            <w:tcW w:w="705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</w:tc>
        <w:tc>
          <w:tcPr>
            <w:tcW w:w="564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Постоянно</w:t>
            </w:r>
          </w:p>
        </w:tc>
        <w:tc>
          <w:tcPr>
            <w:tcW w:w="1104" w:type="pct"/>
          </w:tcPr>
          <w:p w:rsidR="00F929B3" w:rsidRPr="003B08C1" w:rsidRDefault="00F929B3" w:rsidP="00EF4B6E">
            <w:pPr>
              <w:ind w:firstLine="317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Минимизация рисков нарушения антимонопольного законодательства;</w:t>
            </w:r>
          </w:p>
          <w:p w:rsidR="00F929B3" w:rsidRPr="003B08C1" w:rsidRDefault="00F929B3" w:rsidP="00EF4B6E">
            <w:pPr>
              <w:ind w:firstLine="317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F929B3" w:rsidRPr="003B08C1" w:rsidRDefault="00F929B3" w:rsidP="00EF4B6E">
            <w:pPr>
              <w:ind w:firstLine="317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прохождение работников Департамента обучения по программе повышения квалификации и профессиональной переподготовки;</w:t>
            </w:r>
          </w:p>
          <w:p w:rsidR="00F929B3" w:rsidRPr="003B08C1" w:rsidRDefault="00F929B3" w:rsidP="00EF4B6E">
            <w:pPr>
              <w:ind w:firstLine="317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повышение контроля со стороны руководства за соблюдением требований законодательства в сфере закупок.</w:t>
            </w:r>
          </w:p>
        </w:tc>
      </w:tr>
      <w:tr w:rsidR="00F929B3" w:rsidRPr="003B08C1" w:rsidTr="00F929B3">
        <w:tc>
          <w:tcPr>
            <w:tcW w:w="186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2.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 подготовке заключений о целесообразности привлечения и использования иностранных работников: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согласованные действия;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предоставление хозяйствующим субъектам доступа к информации в приоритетном порядке;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ненадлежащая подготовка документов.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Мониторинг и анализ применения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усиление внутреннего контроля со стороны начальника Управления занятости населения за соблюдением требований нормативных правовых актов, определяющих порядок подготовки заключений о целесообразности привлечения и использования иностранных работников;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своевременное информирование хозяйствующих субъектов об изменениях законодательства посредством размещения информации на официальном сайте Департамента;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принятие мер, исключающих доступ хозяйствующих субъектов к информации в приоритетном порядке;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принятие мер по недопущению конфликта интересов, согласованных действий, ущемляющих права хозяйствующих субъектов.</w:t>
            </w:r>
          </w:p>
        </w:tc>
        <w:tc>
          <w:tcPr>
            <w:tcW w:w="705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Управление занятости населения</w:t>
            </w:r>
          </w:p>
        </w:tc>
        <w:tc>
          <w:tcPr>
            <w:tcW w:w="564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Постоянно</w:t>
            </w:r>
          </w:p>
        </w:tc>
        <w:tc>
          <w:tcPr>
            <w:tcW w:w="1104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Минимизация рисков нарушения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повышение контроля со стороны руководства.</w:t>
            </w:r>
          </w:p>
        </w:tc>
      </w:tr>
      <w:tr w:rsidR="00F929B3" w:rsidRPr="003B08C1" w:rsidTr="00F929B3">
        <w:tc>
          <w:tcPr>
            <w:tcW w:w="186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3.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 разработке проектов нормативных правовых актов, регламентирующих взаимодействие (деятельность), права и интересы хозяйствующих субъектов в сферах деятельности Департамента: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создание дискриминационных или преимущественных условий для отдельных хозяйствующих субъектов;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введение ограничений прав граждан на выбор хозяйствующего субъекта при получении мер социальной поддержки в форме денежной выплаты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Анализ проектов нормативно правовых актов на соответствие требованиям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 xml:space="preserve">размещение проектов нормативных правовых актов, действующих нормативных </w:t>
            </w:r>
            <w:r w:rsidRPr="003B08C1">
              <w:rPr>
                <w:sz w:val="22"/>
                <w:szCs w:val="22"/>
              </w:rPr>
              <w:lastRenderedPageBreak/>
              <w:t>правовых актов на официальном сайте Департамента для проведения анализа на предмет соответствия их антимонопольному законодательству;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анализ и оценка поступивших от организаций и граждан замечаний и предложений по проекту нормативного правового акта, по действующему нормативному правовому акту о несоответствии их антимонопольному законодательству;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систематическое повышение квалификации работников, осуществляющих разработку нормативных правовых актов;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анализ изменений, вносимых в законодательство в сфере социальной защиты и социального обслуживания граждан (инвалидов), в сфере занятости населения;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мониторинг и анализ применения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усиление внутреннего контроля при подготовке нормативных правовых актов.</w:t>
            </w:r>
          </w:p>
        </w:tc>
        <w:tc>
          <w:tcPr>
            <w:tcW w:w="705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Управление занятости населения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 xml:space="preserve">Управление социальной </w:t>
            </w:r>
            <w:r w:rsidRPr="003B08C1">
              <w:rPr>
                <w:sz w:val="22"/>
                <w:szCs w:val="22"/>
              </w:rPr>
              <w:lastRenderedPageBreak/>
              <w:t>поддержки населения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Финансово-экономическое управления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04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Минимизация рисков нарушения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повышение контроля со стороны руководства Департамента.</w:t>
            </w:r>
          </w:p>
        </w:tc>
      </w:tr>
      <w:tr w:rsidR="00F929B3" w:rsidRPr="003B08C1" w:rsidTr="00F929B3">
        <w:tc>
          <w:tcPr>
            <w:tcW w:w="186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 применении мер административной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ответственности: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внесение заведомо ложных сведений в процессуальные документы при производстве административного дела;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 xml:space="preserve">составление протокола (предостережения) на заведомо </w:t>
            </w:r>
            <w:r w:rsidRPr="003B08C1">
              <w:rPr>
                <w:sz w:val="22"/>
                <w:szCs w:val="22"/>
              </w:rPr>
              <w:lastRenderedPageBreak/>
              <w:t>неуполномоченного представителя юридического лица (индивидуального предпринимателя);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направление протокола (предостережения) с нарушением установленного срока или не направление протокола (предостережения) в целях последующей их отмены.</w:t>
            </w:r>
          </w:p>
        </w:tc>
        <w:tc>
          <w:tcPr>
            <w:tcW w:w="1221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Мониторинг и анализ применения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применение мер по недопущению конфликта интересов, согласованных действий, ущемляющих права хозяйствующих субъектов;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повышение уровня квалификации должностных лиц;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контроль за соблюдением требований, установленных Кодексом об административных правонарушениях Российской Федерации;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мониторинг и анализ изменений Кодекса об административных правонарушениях Российской Федерации.</w:t>
            </w:r>
          </w:p>
        </w:tc>
        <w:tc>
          <w:tcPr>
            <w:tcW w:w="705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Управление занятости населения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F929B3" w:rsidRPr="003B08C1" w:rsidRDefault="00F929B3" w:rsidP="00EF4B6E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B08C1">
              <w:rPr>
                <w:sz w:val="22"/>
                <w:szCs w:val="22"/>
              </w:rPr>
              <w:t>Постоянно</w:t>
            </w:r>
          </w:p>
        </w:tc>
        <w:tc>
          <w:tcPr>
            <w:tcW w:w="1104" w:type="pct"/>
          </w:tcPr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Минимизация рисков нарушения 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F929B3" w:rsidRPr="003B08C1" w:rsidRDefault="00F929B3" w:rsidP="00EF4B6E">
            <w:pPr>
              <w:ind w:firstLine="312"/>
              <w:jc w:val="both"/>
              <w:outlineLvl w:val="2"/>
              <w:rPr>
                <w:sz w:val="22"/>
                <w:szCs w:val="22"/>
              </w:rPr>
            </w:pPr>
            <w:r w:rsidRPr="003B08C1">
              <w:rPr>
                <w:sz w:val="22"/>
                <w:szCs w:val="22"/>
              </w:rPr>
              <w:lastRenderedPageBreak/>
              <w:t>повышение контроля со стороны руководства Департамента.</w:t>
            </w:r>
          </w:p>
        </w:tc>
      </w:tr>
    </w:tbl>
    <w:p w:rsidR="00F929B3" w:rsidRPr="000D2735" w:rsidRDefault="00F929B3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F929B3" w:rsidRPr="000D2735" w:rsidSect="00F929B3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65959"/>
    <w:rsid w:val="000D2735"/>
    <w:rsid w:val="00222D20"/>
    <w:rsid w:val="00285174"/>
    <w:rsid w:val="002B5C5E"/>
    <w:rsid w:val="002D4007"/>
    <w:rsid w:val="00307725"/>
    <w:rsid w:val="003112A4"/>
    <w:rsid w:val="003518B3"/>
    <w:rsid w:val="00356C63"/>
    <w:rsid w:val="0042634F"/>
    <w:rsid w:val="005643FC"/>
    <w:rsid w:val="005F7C30"/>
    <w:rsid w:val="00662D9F"/>
    <w:rsid w:val="0067671C"/>
    <w:rsid w:val="00775002"/>
    <w:rsid w:val="0090460D"/>
    <w:rsid w:val="00985FBF"/>
    <w:rsid w:val="00A5260B"/>
    <w:rsid w:val="00BB7946"/>
    <w:rsid w:val="00C05885"/>
    <w:rsid w:val="00C45C38"/>
    <w:rsid w:val="00C7405C"/>
    <w:rsid w:val="00C7639B"/>
    <w:rsid w:val="00E57677"/>
    <w:rsid w:val="00E9321D"/>
    <w:rsid w:val="00EA13C8"/>
    <w:rsid w:val="00ED104B"/>
    <w:rsid w:val="00F87D63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1B42"/>
  <w15:docId w15:val="{4F9AA7DB-AAFC-45C2-9595-6941009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org2</cp:lastModifiedBy>
  <cp:revision>3</cp:revision>
  <dcterms:created xsi:type="dcterms:W3CDTF">2023-11-22T03:19:00Z</dcterms:created>
  <dcterms:modified xsi:type="dcterms:W3CDTF">2023-11-22T03:48:00Z</dcterms:modified>
</cp:coreProperties>
</file>