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551" w:rsidRDefault="00686551" w:rsidP="00686551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15F1E187" wp14:editId="7B65ACB7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51" w:rsidRPr="00593B52" w:rsidRDefault="00686551" w:rsidP="0068655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95"/>
      </w:tblGrid>
      <w:tr w:rsidR="00686551" w:rsidRPr="00593B52" w:rsidTr="00CA09A1">
        <w:trPr>
          <w:jc w:val="center"/>
        </w:trPr>
        <w:tc>
          <w:tcPr>
            <w:tcW w:w="10085" w:type="dxa"/>
          </w:tcPr>
          <w:p w:rsidR="00686551" w:rsidRPr="00593B52" w:rsidRDefault="00686551" w:rsidP="00CA09A1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686551" w:rsidRPr="00593B52" w:rsidRDefault="00686551" w:rsidP="00686551">
      <w:pPr>
        <w:pStyle w:val="1"/>
        <w:keepNext w:val="0"/>
        <w:rPr>
          <w:b w:val="0"/>
          <w:szCs w:val="28"/>
          <w:lang w:val="ru-RU"/>
        </w:rPr>
      </w:pPr>
    </w:p>
    <w:p w:rsidR="00686551" w:rsidRDefault="00686551" w:rsidP="00686551">
      <w:pPr>
        <w:pStyle w:val="1"/>
        <w:keepNext w:val="0"/>
        <w:rPr>
          <w:sz w:val="26"/>
          <w:szCs w:val="26"/>
          <w:lang w:val="ru-RU"/>
        </w:rPr>
      </w:pPr>
      <w:r w:rsidRPr="008A0055">
        <w:rPr>
          <w:sz w:val="26"/>
          <w:szCs w:val="26"/>
        </w:rPr>
        <w:t>П Р И К А З</w:t>
      </w:r>
    </w:p>
    <w:p w:rsidR="00686551" w:rsidRPr="007D7D41" w:rsidRDefault="00686551" w:rsidP="00686551">
      <w:pPr>
        <w:rPr>
          <w:lang w:eastAsia="x-none"/>
        </w:rPr>
      </w:pPr>
    </w:p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686551" w:rsidRPr="008A0055" w:rsidTr="00CA09A1">
        <w:tc>
          <w:tcPr>
            <w:tcW w:w="604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686551" w:rsidRPr="008A0055" w:rsidRDefault="009F4B6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 декабря 2021 года</w:t>
            </w:r>
          </w:p>
        </w:tc>
        <w:tc>
          <w:tcPr>
            <w:tcW w:w="236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686551" w:rsidRPr="008A0055" w:rsidRDefault="009F4B6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1495</w:t>
            </w:r>
          </w:p>
        </w:tc>
        <w:tc>
          <w:tcPr>
            <w:tcW w:w="385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686551" w:rsidRDefault="00686551" w:rsidP="00686551">
      <w:pPr>
        <w:jc w:val="both"/>
        <w:outlineLvl w:val="2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686551" w:rsidTr="00CA09A1">
        <w:tc>
          <w:tcPr>
            <w:tcW w:w="4856" w:type="dxa"/>
          </w:tcPr>
          <w:p w:rsidR="00686551" w:rsidRDefault="00840D62" w:rsidP="00CA09A1">
            <w:pPr>
              <w:jc w:val="both"/>
              <w:outlineLvl w:val="2"/>
              <w:rPr>
                <w:sz w:val="26"/>
                <w:szCs w:val="26"/>
              </w:rPr>
            </w:pPr>
            <w:r w:rsidRPr="00840D62">
              <w:rPr>
                <w:sz w:val="26"/>
                <w:szCs w:val="26"/>
              </w:rPr>
              <w:t>Об утверждении карты рисков нарушения антимонопольного законодательства Департамента социальной политики Чукотского автономного округа на 2022 год</w:t>
            </w:r>
          </w:p>
        </w:tc>
        <w:tc>
          <w:tcPr>
            <w:tcW w:w="4856" w:type="dxa"/>
          </w:tcPr>
          <w:p w:rsidR="00686551" w:rsidRDefault="00686551" w:rsidP="00CA09A1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686551" w:rsidRPr="00144A58" w:rsidRDefault="00686551" w:rsidP="00686551">
      <w:pPr>
        <w:jc w:val="both"/>
        <w:rPr>
          <w:sz w:val="28"/>
          <w:szCs w:val="28"/>
        </w:rPr>
      </w:pPr>
      <w:bookmarkStart w:id="0" w:name="sub_1"/>
    </w:p>
    <w:p w:rsidR="00686551" w:rsidRDefault="00840D62" w:rsidP="00840D62">
      <w:pPr>
        <w:ind w:firstLine="567"/>
        <w:jc w:val="both"/>
        <w:rPr>
          <w:sz w:val="26"/>
          <w:szCs w:val="26"/>
        </w:rPr>
      </w:pPr>
      <w:r w:rsidRPr="00DF5A56">
        <w:rPr>
          <w:sz w:val="26"/>
          <w:szCs w:val="26"/>
        </w:rPr>
        <w:t>В целях реализации Указа Президента Российской Федерации от 21 декабря 2017 года № 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 октября 2018 года № 2258-р и приказом Департамента социальной политики Чукотского автономного округа от 27 февраля 2019 года №</w:t>
      </w:r>
      <w:r>
        <w:rPr>
          <w:sz w:val="26"/>
          <w:szCs w:val="26"/>
        </w:rPr>
        <w:t> </w:t>
      </w:r>
      <w:r w:rsidRPr="00DF5A56">
        <w:rPr>
          <w:sz w:val="26"/>
          <w:szCs w:val="26"/>
        </w:rPr>
        <w:t>325 «О системе внутреннего обеспечения соответствия требованиям антимонопольного законодательства в Департаменте социальной политики Чукотского автономного округа»,</w:t>
      </w:r>
    </w:p>
    <w:p w:rsidR="00840D62" w:rsidRPr="00144A58" w:rsidRDefault="00840D62" w:rsidP="00840D62">
      <w:pPr>
        <w:ind w:firstLine="567"/>
        <w:jc w:val="both"/>
        <w:rPr>
          <w:sz w:val="28"/>
          <w:szCs w:val="28"/>
        </w:rPr>
      </w:pPr>
    </w:p>
    <w:p w:rsidR="00686551" w:rsidRPr="00144A58" w:rsidRDefault="00686551" w:rsidP="00686551">
      <w:pPr>
        <w:pStyle w:val="a4"/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840D62" w:rsidRPr="00DF5A56" w:rsidRDefault="00840D62" w:rsidP="00840D62">
      <w:pPr>
        <w:numPr>
          <w:ilvl w:val="0"/>
          <w:numId w:val="27"/>
        </w:numPr>
        <w:tabs>
          <w:tab w:val="left" w:pos="851"/>
        </w:tabs>
        <w:ind w:left="0" w:firstLineChars="276" w:firstLine="718"/>
        <w:jc w:val="both"/>
        <w:rPr>
          <w:sz w:val="26"/>
          <w:szCs w:val="26"/>
        </w:rPr>
      </w:pPr>
      <w:r w:rsidRPr="00DF5A56">
        <w:rPr>
          <w:sz w:val="26"/>
          <w:szCs w:val="26"/>
        </w:rPr>
        <w:t xml:space="preserve">Утвердить карту рисков нарушения антимонопольного законодательства Департамента социальной политики Чукотского автономного округа </w:t>
      </w:r>
      <w:r w:rsidRPr="00DF5A56">
        <w:rPr>
          <w:bCs/>
          <w:sz w:val="26"/>
          <w:szCs w:val="26"/>
        </w:rPr>
        <w:t>согласно приложению к настоящему приказу</w:t>
      </w:r>
      <w:r w:rsidRPr="00DF5A56">
        <w:rPr>
          <w:sz w:val="26"/>
          <w:szCs w:val="26"/>
        </w:rPr>
        <w:t>.</w:t>
      </w:r>
    </w:p>
    <w:p w:rsidR="00840D62" w:rsidRPr="00DF5A56" w:rsidRDefault="00840D62" w:rsidP="00840D62">
      <w:pPr>
        <w:numPr>
          <w:ilvl w:val="0"/>
          <w:numId w:val="27"/>
        </w:numPr>
        <w:tabs>
          <w:tab w:val="left" w:pos="851"/>
        </w:tabs>
        <w:ind w:left="0" w:firstLineChars="276" w:firstLine="718"/>
        <w:jc w:val="both"/>
        <w:rPr>
          <w:sz w:val="26"/>
          <w:szCs w:val="26"/>
        </w:rPr>
      </w:pPr>
      <w:r w:rsidRPr="00DF5A56">
        <w:rPr>
          <w:sz w:val="26"/>
          <w:szCs w:val="26"/>
        </w:rPr>
        <w:t>Отделу административно-организационной и правовой работы Департамента социальной политики Чукотского автономного округа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Тюменцевой</w:t>
      </w:r>
      <w:proofErr w:type="spellEnd"/>
      <w:r>
        <w:rPr>
          <w:sz w:val="26"/>
          <w:szCs w:val="26"/>
        </w:rPr>
        <w:t xml:space="preserve"> А.В.)</w:t>
      </w:r>
      <w:r w:rsidRPr="00DF5A56">
        <w:rPr>
          <w:sz w:val="26"/>
          <w:szCs w:val="26"/>
        </w:rPr>
        <w:t xml:space="preserve"> обеспечить ознакомление начальников структурных подразделений Департамента с настоящим приказом.</w:t>
      </w:r>
    </w:p>
    <w:p w:rsidR="00840D62" w:rsidRDefault="00840D62" w:rsidP="00840D62">
      <w:pPr>
        <w:numPr>
          <w:ilvl w:val="0"/>
          <w:numId w:val="27"/>
        </w:numPr>
        <w:tabs>
          <w:tab w:val="left" w:pos="851"/>
        </w:tabs>
        <w:ind w:left="0" w:firstLineChars="276" w:firstLine="718"/>
        <w:jc w:val="both"/>
        <w:rPr>
          <w:sz w:val="26"/>
          <w:szCs w:val="26"/>
        </w:rPr>
      </w:pPr>
      <w:r w:rsidRPr="00DF5A56">
        <w:rPr>
          <w:sz w:val="26"/>
          <w:szCs w:val="26"/>
        </w:rPr>
        <w:t>Контроль за исполнением настоящего приказа</w:t>
      </w:r>
      <w:r>
        <w:rPr>
          <w:sz w:val="26"/>
          <w:szCs w:val="26"/>
        </w:rPr>
        <w:t xml:space="preserve"> возложить на начальника</w:t>
      </w:r>
      <w:r w:rsidRPr="00DF5A56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DF5A56">
        <w:rPr>
          <w:sz w:val="26"/>
          <w:szCs w:val="26"/>
        </w:rPr>
        <w:t>тдел</w:t>
      </w:r>
      <w:r>
        <w:rPr>
          <w:sz w:val="26"/>
          <w:szCs w:val="26"/>
        </w:rPr>
        <w:t>а</w:t>
      </w:r>
      <w:r w:rsidRPr="00DF5A56">
        <w:rPr>
          <w:sz w:val="26"/>
          <w:szCs w:val="26"/>
        </w:rPr>
        <w:t xml:space="preserve"> административно-организационной и правовой работы Департамента социальной политики Чукотского автономного округа</w:t>
      </w:r>
      <w:r>
        <w:rPr>
          <w:sz w:val="26"/>
          <w:szCs w:val="26"/>
        </w:rPr>
        <w:t xml:space="preserve"> Тюменцеву А.В.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  <w:bookmarkStart w:id="1" w:name="_GoBack"/>
      <w:bookmarkEnd w:id="1"/>
    </w:p>
    <w:bookmarkEnd w:id="0"/>
    <w:p w:rsidR="00A11EE3" w:rsidRDefault="00001263" w:rsidP="00686551">
      <w:pPr>
        <w:outlineLvl w:val="2"/>
        <w:rPr>
          <w:sz w:val="28"/>
          <w:szCs w:val="28"/>
        </w:rPr>
        <w:sectPr w:rsidR="00A11EE3" w:rsidSect="00C106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709" w:bottom="1134" w:left="1418" w:header="709" w:footer="709" w:gutter="0"/>
          <w:cols w:space="708"/>
          <w:formProt w:val="0"/>
          <w:docGrid w:linePitch="360"/>
        </w:sectPr>
      </w:pPr>
      <w:r w:rsidRPr="00A15DF4">
        <w:rPr>
          <w:noProof/>
          <w:sz w:val="28"/>
          <w:szCs w:val="28"/>
        </w:rPr>
        <w:drawing>
          <wp:inline distT="0" distB="0" distL="0" distR="0">
            <wp:extent cx="4539615" cy="1080000"/>
            <wp:effectExtent l="19050" t="0" r="0" b="0"/>
            <wp:docPr id="2" name="Вставить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15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5118"/>
        <w:gridCol w:w="5167"/>
      </w:tblGrid>
      <w:tr w:rsidR="00A11EE3" w:rsidRPr="00DF5A56" w:rsidTr="003F20A4">
        <w:tc>
          <w:tcPr>
            <w:tcW w:w="5117" w:type="dxa"/>
          </w:tcPr>
          <w:p w:rsidR="00A11EE3" w:rsidRPr="00DF5A56" w:rsidRDefault="00A11EE3" w:rsidP="003F20A4">
            <w:pPr>
              <w:outlineLvl w:val="2"/>
            </w:pPr>
          </w:p>
        </w:tc>
        <w:tc>
          <w:tcPr>
            <w:tcW w:w="5118" w:type="dxa"/>
          </w:tcPr>
          <w:p w:rsidR="00A11EE3" w:rsidRPr="00DF5A56" w:rsidRDefault="00A11EE3" w:rsidP="003F20A4">
            <w:pPr>
              <w:outlineLvl w:val="2"/>
            </w:pPr>
          </w:p>
        </w:tc>
        <w:tc>
          <w:tcPr>
            <w:tcW w:w="5167" w:type="dxa"/>
          </w:tcPr>
          <w:p w:rsidR="00A11EE3" w:rsidRPr="00DF5A56" w:rsidRDefault="00A11EE3" w:rsidP="003F20A4">
            <w:pPr>
              <w:outlineLvl w:val="2"/>
            </w:pPr>
            <w:r w:rsidRPr="00DF5A56">
              <w:t>У</w:t>
            </w:r>
            <w:r>
              <w:t>тверждено</w:t>
            </w:r>
          </w:p>
          <w:p w:rsidR="00A11EE3" w:rsidRPr="00DF5A56" w:rsidRDefault="00A11EE3" w:rsidP="003F20A4">
            <w:pPr>
              <w:outlineLvl w:val="2"/>
            </w:pPr>
            <w:r w:rsidRPr="00DF5A56">
              <w:t>Приказом Департамента социальной политики Чукотского автономного округа</w:t>
            </w:r>
          </w:p>
          <w:p w:rsidR="00A11EE3" w:rsidRPr="00DF5A56" w:rsidRDefault="00A11EE3" w:rsidP="003F20A4">
            <w:pPr>
              <w:outlineLvl w:val="2"/>
            </w:pPr>
            <w:r w:rsidRPr="00DF5A56">
              <w:t>от «__» _______ 20___ № ___</w:t>
            </w:r>
          </w:p>
          <w:p w:rsidR="00A11EE3" w:rsidRPr="00DF5A56" w:rsidRDefault="00A11EE3" w:rsidP="003F20A4">
            <w:pPr>
              <w:outlineLvl w:val="2"/>
            </w:pPr>
          </w:p>
        </w:tc>
      </w:tr>
    </w:tbl>
    <w:p w:rsidR="00A11EE3" w:rsidRPr="00DF5A56" w:rsidRDefault="00A11EE3" w:rsidP="00A11EE3">
      <w:pPr>
        <w:outlineLvl w:val="2"/>
      </w:pPr>
    </w:p>
    <w:p w:rsidR="00A11EE3" w:rsidRPr="00DF5A56" w:rsidRDefault="00A11EE3" w:rsidP="00A11EE3">
      <w:pPr>
        <w:jc w:val="center"/>
        <w:outlineLvl w:val="2"/>
        <w:rPr>
          <w:b/>
          <w:bCs/>
        </w:rPr>
      </w:pPr>
      <w:bookmarkStart w:id="2" w:name="P32"/>
      <w:bookmarkEnd w:id="2"/>
      <w:r w:rsidRPr="00DF5A56">
        <w:rPr>
          <w:b/>
          <w:bCs/>
        </w:rPr>
        <w:t>Карта рисков нарушения антимонопольного законодательства</w:t>
      </w:r>
    </w:p>
    <w:p w:rsidR="00A11EE3" w:rsidRPr="00DF5A56" w:rsidRDefault="00A11EE3" w:rsidP="00A11EE3">
      <w:pPr>
        <w:jc w:val="center"/>
        <w:outlineLvl w:val="2"/>
        <w:rPr>
          <w:b/>
          <w:bCs/>
        </w:rPr>
      </w:pPr>
      <w:r w:rsidRPr="00DF5A56">
        <w:rPr>
          <w:b/>
          <w:bCs/>
        </w:rPr>
        <w:t>Департамента социальной политики Чукот</w:t>
      </w:r>
      <w:r>
        <w:rPr>
          <w:b/>
          <w:bCs/>
        </w:rPr>
        <w:t>ского автономного округа на 2022</w:t>
      </w:r>
      <w:r w:rsidRPr="00DF5A56">
        <w:rPr>
          <w:b/>
          <w:bCs/>
        </w:rPr>
        <w:t xml:space="preserve"> год</w:t>
      </w:r>
    </w:p>
    <w:p w:rsidR="00A11EE3" w:rsidRPr="00DF5A56" w:rsidRDefault="00A11EE3" w:rsidP="00A11EE3">
      <w:pPr>
        <w:outlineLvl w:val="2"/>
      </w:pPr>
    </w:p>
    <w:tbl>
      <w:tblPr>
        <w:tblStyle w:val="a8"/>
        <w:tblW w:w="148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268"/>
        <w:gridCol w:w="3685"/>
        <w:gridCol w:w="4111"/>
        <w:gridCol w:w="2026"/>
      </w:tblGrid>
      <w:tr w:rsidR="00A11EE3" w:rsidRPr="00B009AD" w:rsidTr="003F20A4">
        <w:tc>
          <w:tcPr>
            <w:tcW w:w="675" w:type="dxa"/>
          </w:tcPr>
          <w:p w:rsidR="00A11EE3" w:rsidRPr="00B009AD" w:rsidRDefault="00A11EE3" w:rsidP="003F20A4">
            <w:pPr>
              <w:jc w:val="center"/>
              <w:outlineLvl w:val="2"/>
            </w:pPr>
            <w:r w:rsidRPr="00B009AD">
              <w:t>№ п/п</w:t>
            </w:r>
          </w:p>
        </w:tc>
        <w:tc>
          <w:tcPr>
            <w:tcW w:w="2127" w:type="dxa"/>
          </w:tcPr>
          <w:p w:rsidR="00A11EE3" w:rsidRPr="00B009AD" w:rsidRDefault="00A11EE3" w:rsidP="003F20A4">
            <w:pPr>
              <w:jc w:val="center"/>
              <w:outlineLvl w:val="2"/>
            </w:pPr>
            <w:r w:rsidRPr="00B009AD">
              <w:t>Наименование полномочия (действия, административная процедура), реализация которого связана с рисками</w:t>
            </w:r>
          </w:p>
        </w:tc>
        <w:tc>
          <w:tcPr>
            <w:tcW w:w="2268" w:type="dxa"/>
          </w:tcPr>
          <w:p w:rsidR="00A11EE3" w:rsidRPr="00B009AD" w:rsidRDefault="00A11EE3" w:rsidP="003F20A4">
            <w:pPr>
              <w:jc w:val="center"/>
              <w:outlineLvl w:val="2"/>
            </w:pPr>
            <w:r w:rsidRPr="00B009AD">
              <w:t>Наименование структурных подразделений Департамента, при реализации полномочий которых возможно возникновение рисков</w:t>
            </w:r>
          </w:p>
        </w:tc>
        <w:tc>
          <w:tcPr>
            <w:tcW w:w="3685" w:type="dxa"/>
          </w:tcPr>
          <w:p w:rsidR="00A11EE3" w:rsidRPr="00B009AD" w:rsidRDefault="00A11EE3" w:rsidP="003F20A4">
            <w:pPr>
              <w:jc w:val="center"/>
              <w:outlineLvl w:val="2"/>
            </w:pPr>
            <w:r w:rsidRPr="00B009AD">
              <w:t>Риск (краткое описание)</w:t>
            </w:r>
          </w:p>
        </w:tc>
        <w:tc>
          <w:tcPr>
            <w:tcW w:w="4111" w:type="dxa"/>
          </w:tcPr>
          <w:p w:rsidR="00A11EE3" w:rsidRPr="00B009AD" w:rsidRDefault="00A11EE3" w:rsidP="003F20A4">
            <w:pPr>
              <w:jc w:val="center"/>
              <w:outlineLvl w:val="2"/>
            </w:pPr>
            <w:r w:rsidRPr="00B009AD">
              <w:t>Причины (условия)</w:t>
            </w:r>
            <w:r w:rsidRPr="00B009AD">
              <w:br/>
              <w:t>возникновения риска</w:t>
            </w:r>
          </w:p>
        </w:tc>
        <w:tc>
          <w:tcPr>
            <w:tcW w:w="2026" w:type="dxa"/>
          </w:tcPr>
          <w:p w:rsidR="00A11EE3" w:rsidRPr="00B009AD" w:rsidRDefault="00A11EE3" w:rsidP="003F20A4">
            <w:pPr>
              <w:jc w:val="center"/>
              <w:outlineLvl w:val="2"/>
            </w:pPr>
            <w:r w:rsidRPr="00B009AD">
              <w:t>Уровень риска</w:t>
            </w:r>
          </w:p>
        </w:tc>
      </w:tr>
      <w:tr w:rsidR="00A11EE3" w:rsidRPr="00B009AD" w:rsidTr="003F20A4">
        <w:tc>
          <w:tcPr>
            <w:tcW w:w="675" w:type="dxa"/>
          </w:tcPr>
          <w:p w:rsidR="00A11EE3" w:rsidRPr="00B009AD" w:rsidRDefault="00A11EE3" w:rsidP="003F20A4">
            <w:pPr>
              <w:outlineLvl w:val="2"/>
            </w:pPr>
            <w:r w:rsidRPr="00B009AD">
              <w:t>1.</w:t>
            </w:r>
          </w:p>
        </w:tc>
        <w:tc>
          <w:tcPr>
            <w:tcW w:w="2127" w:type="dxa"/>
          </w:tcPr>
          <w:p w:rsidR="00A11EE3" w:rsidRPr="00B009AD" w:rsidRDefault="00A11EE3" w:rsidP="003F20A4">
            <w:pPr>
              <w:outlineLvl w:val="2"/>
            </w:pPr>
            <w:r w:rsidRPr="00B009AD">
              <w:t>Организация и проведение закупок товаров, работ, услуг для государственных нужд</w:t>
            </w:r>
          </w:p>
        </w:tc>
        <w:tc>
          <w:tcPr>
            <w:tcW w:w="2268" w:type="dxa"/>
          </w:tcPr>
          <w:p w:rsidR="00A11EE3" w:rsidRPr="00B009AD" w:rsidRDefault="00A11EE3" w:rsidP="003F20A4">
            <w:pPr>
              <w:outlineLvl w:val="2"/>
            </w:pPr>
            <w:r w:rsidRPr="00B009AD">
              <w:t>Отдел административно-организационной и правовой работы</w:t>
            </w:r>
          </w:p>
        </w:tc>
        <w:tc>
          <w:tcPr>
            <w:tcW w:w="3685" w:type="dxa"/>
          </w:tcPr>
          <w:p w:rsidR="00A11EE3" w:rsidRPr="00B009AD" w:rsidRDefault="00A11EE3" w:rsidP="003F20A4">
            <w:pPr>
              <w:outlineLvl w:val="2"/>
            </w:pPr>
            <w:r w:rsidRPr="00B009AD">
              <w:t>- координация деятельности участников закупки;</w:t>
            </w:r>
          </w:p>
          <w:p w:rsidR="00A11EE3" w:rsidRPr="00B009AD" w:rsidRDefault="00A11EE3" w:rsidP="003F20A4">
            <w:pPr>
              <w:outlineLvl w:val="2"/>
            </w:pPr>
            <w:r w:rsidRPr="00B009AD">
              <w:t>- заключение государственных контрактов (договоров) между заказчиком с участниками закупки, если такие государственные контракты (договоры) имеют своей целью либо приводят или могут привести к ограничению конкуренции и (или) созданию преимущественных условий для каких-либо участников;</w:t>
            </w:r>
          </w:p>
          <w:p w:rsidR="00A11EE3" w:rsidRPr="00B009AD" w:rsidRDefault="00A11EE3" w:rsidP="003F20A4">
            <w:pPr>
              <w:outlineLvl w:val="2"/>
            </w:pPr>
            <w:r w:rsidRPr="00B009AD">
              <w:t xml:space="preserve">- создание участнику закупки или нескольким участникам закупки преимущественных </w:t>
            </w:r>
            <w:r w:rsidRPr="00B009AD">
              <w:lastRenderedPageBreak/>
              <w:t>условий участия в закупке, в том числе путем доступа к информации;</w:t>
            </w:r>
          </w:p>
          <w:p w:rsidR="00A11EE3" w:rsidRPr="00B009AD" w:rsidRDefault="00A11EE3" w:rsidP="003F20A4">
            <w:pPr>
              <w:outlineLvl w:val="2"/>
            </w:pPr>
            <w:r w:rsidRPr="00B009AD">
              <w:t>- нарушение порядка определения победителя закупки;</w:t>
            </w:r>
          </w:p>
          <w:p w:rsidR="00A11EE3" w:rsidRPr="00B009AD" w:rsidRDefault="00A11EE3" w:rsidP="003F20A4">
            <w:pPr>
              <w:outlineLvl w:val="2"/>
            </w:pPr>
            <w:r w:rsidRPr="00B009AD">
              <w:t>- нарушение порядка определения начальной (максимальной) цены государственного контракта</w:t>
            </w:r>
          </w:p>
        </w:tc>
        <w:tc>
          <w:tcPr>
            <w:tcW w:w="4111" w:type="dxa"/>
          </w:tcPr>
          <w:p w:rsidR="00A11EE3" w:rsidRPr="00B009AD" w:rsidRDefault="00A11EE3" w:rsidP="003F20A4">
            <w:pPr>
              <w:numPr>
                <w:ilvl w:val="0"/>
                <w:numId w:val="28"/>
              </w:numPr>
            </w:pPr>
            <w:r w:rsidRPr="00B009AD">
              <w:lastRenderedPageBreak/>
              <w:t>несоблюдение принципов открытости, прозрачности информации о контрактной системе в сфере закупок, обеспечения конкуренции, профессионализма заказчика;</w:t>
            </w:r>
          </w:p>
          <w:p w:rsidR="00A11EE3" w:rsidRPr="00B009AD" w:rsidRDefault="00A11EE3" w:rsidP="003F20A4">
            <w:pPr>
              <w:numPr>
                <w:ilvl w:val="0"/>
                <w:numId w:val="28"/>
              </w:numPr>
              <w:outlineLvl w:val="2"/>
            </w:pPr>
            <w:r w:rsidRPr="00B009AD">
              <w:t>высокая нагрузка на сотрудников;</w:t>
            </w:r>
          </w:p>
          <w:p w:rsidR="00A11EE3" w:rsidRPr="00B009AD" w:rsidRDefault="00A11EE3" w:rsidP="003F20A4">
            <w:pPr>
              <w:numPr>
                <w:ilvl w:val="0"/>
                <w:numId w:val="28"/>
              </w:numPr>
              <w:outlineLvl w:val="2"/>
            </w:pPr>
            <w:r w:rsidRPr="00B009AD">
              <w:t>отсутствие достаточной квалификации сотрудников;</w:t>
            </w:r>
          </w:p>
          <w:p w:rsidR="00A11EE3" w:rsidRPr="00B009AD" w:rsidRDefault="00A11EE3" w:rsidP="003F20A4">
            <w:pPr>
              <w:numPr>
                <w:ilvl w:val="0"/>
                <w:numId w:val="28"/>
              </w:numPr>
              <w:outlineLvl w:val="2"/>
            </w:pPr>
            <w:r w:rsidRPr="00B009AD">
              <w:t>поручение вышестоящего руководства;</w:t>
            </w:r>
          </w:p>
          <w:p w:rsidR="00A11EE3" w:rsidRPr="00B009AD" w:rsidRDefault="00A11EE3" w:rsidP="003F20A4">
            <w:pPr>
              <w:numPr>
                <w:ilvl w:val="0"/>
                <w:numId w:val="28"/>
              </w:numPr>
              <w:outlineLvl w:val="2"/>
            </w:pPr>
            <w:r w:rsidRPr="00B009AD">
              <w:t>непринятие мер по исключению конфликта интересов;</w:t>
            </w:r>
          </w:p>
          <w:p w:rsidR="00A11EE3" w:rsidRPr="00B009AD" w:rsidRDefault="00A11EE3" w:rsidP="003F20A4">
            <w:pPr>
              <w:outlineLvl w:val="2"/>
            </w:pPr>
            <w:r w:rsidRPr="00B009AD">
              <w:t xml:space="preserve">- предоставление недостоверных сведений для определения начальной </w:t>
            </w:r>
            <w:r w:rsidRPr="00B009AD">
              <w:lastRenderedPageBreak/>
              <w:t>(максимальной) цены контракта</w:t>
            </w:r>
          </w:p>
        </w:tc>
        <w:tc>
          <w:tcPr>
            <w:tcW w:w="2026" w:type="dxa"/>
          </w:tcPr>
          <w:p w:rsidR="00A11EE3" w:rsidRPr="00B009AD" w:rsidRDefault="00A11EE3" w:rsidP="003F20A4">
            <w:pPr>
              <w:outlineLvl w:val="2"/>
            </w:pPr>
            <w:r w:rsidRPr="00B009AD">
              <w:lastRenderedPageBreak/>
              <w:t>высокий</w:t>
            </w:r>
          </w:p>
        </w:tc>
      </w:tr>
      <w:tr w:rsidR="00A11EE3" w:rsidRPr="00B009AD" w:rsidTr="003F20A4">
        <w:tc>
          <w:tcPr>
            <w:tcW w:w="675" w:type="dxa"/>
          </w:tcPr>
          <w:p w:rsidR="00A11EE3" w:rsidRPr="00B009AD" w:rsidRDefault="00A11EE3" w:rsidP="003F20A4">
            <w:pPr>
              <w:outlineLvl w:val="2"/>
            </w:pPr>
            <w:r w:rsidRPr="00B009AD">
              <w:t>2.</w:t>
            </w:r>
          </w:p>
        </w:tc>
        <w:tc>
          <w:tcPr>
            <w:tcW w:w="2127" w:type="dxa"/>
          </w:tcPr>
          <w:p w:rsidR="00A11EE3" w:rsidRPr="00B009AD" w:rsidRDefault="00A11EE3" w:rsidP="003F20A4">
            <w:pPr>
              <w:outlineLvl w:val="2"/>
            </w:pPr>
            <w:r w:rsidRPr="00B009AD">
              <w:t>Подготовка заключений Департамента о целесообразности привлечения и использования иностранных работников</w:t>
            </w:r>
          </w:p>
        </w:tc>
        <w:tc>
          <w:tcPr>
            <w:tcW w:w="2268" w:type="dxa"/>
          </w:tcPr>
          <w:p w:rsidR="00A11EE3" w:rsidRPr="00B009AD" w:rsidRDefault="00A11EE3" w:rsidP="003F20A4">
            <w:pPr>
              <w:outlineLvl w:val="2"/>
            </w:pPr>
            <w:r w:rsidRPr="00B009AD">
              <w:t>Управление занятости населения</w:t>
            </w:r>
          </w:p>
        </w:tc>
        <w:tc>
          <w:tcPr>
            <w:tcW w:w="3685" w:type="dxa"/>
          </w:tcPr>
          <w:p w:rsidR="00A11EE3" w:rsidRPr="00B009AD" w:rsidRDefault="00A11EE3" w:rsidP="003F20A4">
            <w:pPr>
              <w:numPr>
                <w:ilvl w:val="0"/>
                <w:numId w:val="29"/>
              </w:numPr>
              <w:outlineLvl w:val="2"/>
            </w:pPr>
            <w:r w:rsidRPr="00B009AD">
              <w:t>согласованные действия;</w:t>
            </w:r>
          </w:p>
          <w:p w:rsidR="00A11EE3" w:rsidRPr="00B009AD" w:rsidRDefault="00A11EE3" w:rsidP="003F20A4">
            <w:pPr>
              <w:numPr>
                <w:ilvl w:val="0"/>
                <w:numId w:val="29"/>
              </w:numPr>
              <w:outlineLvl w:val="2"/>
            </w:pPr>
            <w:r w:rsidRPr="00B009AD">
              <w:t xml:space="preserve">предоставление хозяйствующим субъектам доступа к информации в приоритетном порядке; </w:t>
            </w:r>
          </w:p>
          <w:p w:rsidR="00A11EE3" w:rsidRPr="00B009AD" w:rsidRDefault="00A11EE3" w:rsidP="003F20A4">
            <w:pPr>
              <w:numPr>
                <w:ilvl w:val="0"/>
                <w:numId w:val="29"/>
              </w:numPr>
              <w:outlineLvl w:val="2"/>
            </w:pPr>
            <w:r w:rsidRPr="00B009AD">
              <w:t>ненадлежащая подготовка документов</w:t>
            </w:r>
          </w:p>
        </w:tc>
        <w:tc>
          <w:tcPr>
            <w:tcW w:w="4111" w:type="dxa"/>
          </w:tcPr>
          <w:p w:rsidR="00A11EE3" w:rsidRPr="00B009AD" w:rsidRDefault="00A11EE3" w:rsidP="003F20A4">
            <w:pPr>
              <w:numPr>
                <w:ilvl w:val="0"/>
                <w:numId w:val="28"/>
              </w:numPr>
            </w:pPr>
            <w:r w:rsidRPr="00B009AD">
              <w:t>поручение вышестоящего руководства;</w:t>
            </w:r>
          </w:p>
          <w:p w:rsidR="00A11EE3" w:rsidRPr="00B009AD" w:rsidRDefault="00A11EE3" w:rsidP="003F20A4">
            <w:pPr>
              <w:numPr>
                <w:ilvl w:val="0"/>
                <w:numId w:val="28"/>
              </w:numPr>
            </w:pPr>
            <w:r w:rsidRPr="00B009AD">
              <w:t>невнимательность при подготовке документов;</w:t>
            </w:r>
          </w:p>
          <w:p w:rsidR="00A11EE3" w:rsidRPr="00B009AD" w:rsidRDefault="00A11EE3" w:rsidP="003F20A4">
            <w:pPr>
              <w:numPr>
                <w:ilvl w:val="0"/>
                <w:numId w:val="28"/>
              </w:numPr>
            </w:pPr>
            <w:r w:rsidRPr="00B009AD">
              <w:t>недостаточная компетентность в данном направлении работы;</w:t>
            </w:r>
          </w:p>
          <w:p w:rsidR="00A11EE3" w:rsidRPr="00B009AD" w:rsidRDefault="00A11EE3" w:rsidP="003F20A4">
            <w:pPr>
              <w:numPr>
                <w:ilvl w:val="0"/>
                <w:numId w:val="28"/>
              </w:numPr>
            </w:pPr>
            <w:r w:rsidRPr="00B009AD">
              <w:t>недостоверная информация в запросах УМВД России по Чукотскому автономному округу</w:t>
            </w:r>
          </w:p>
        </w:tc>
        <w:tc>
          <w:tcPr>
            <w:tcW w:w="2026" w:type="dxa"/>
          </w:tcPr>
          <w:p w:rsidR="00A11EE3" w:rsidRPr="00B009AD" w:rsidRDefault="00A11EE3" w:rsidP="003F20A4">
            <w:pPr>
              <w:outlineLvl w:val="2"/>
            </w:pPr>
            <w:r w:rsidRPr="00B009AD">
              <w:t>существенный</w:t>
            </w:r>
          </w:p>
        </w:tc>
      </w:tr>
      <w:tr w:rsidR="00A11EE3" w:rsidRPr="00B009AD" w:rsidTr="003F20A4">
        <w:tc>
          <w:tcPr>
            <w:tcW w:w="675" w:type="dxa"/>
          </w:tcPr>
          <w:p w:rsidR="00A11EE3" w:rsidRPr="00B009AD" w:rsidRDefault="00A11EE3" w:rsidP="003F20A4">
            <w:pPr>
              <w:outlineLvl w:val="2"/>
            </w:pPr>
            <w:r w:rsidRPr="00B009AD">
              <w:t>3.</w:t>
            </w:r>
          </w:p>
        </w:tc>
        <w:tc>
          <w:tcPr>
            <w:tcW w:w="2127" w:type="dxa"/>
          </w:tcPr>
          <w:p w:rsidR="00A11EE3" w:rsidRPr="00B009AD" w:rsidRDefault="00A11EE3" w:rsidP="003F20A4">
            <w:pPr>
              <w:outlineLvl w:val="2"/>
            </w:pPr>
            <w:r w:rsidRPr="00B009AD">
              <w:t>Разработка проектов НПА, регламентирующих взаимодействие (деятельность), права и интересы хозяйствующих субъектов в сферах деятельности Департамента</w:t>
            </w:r>
          </w:p>
        </w:tc>
        <w:tc>
          <w:tcPr>
            <w:tcW w:w="2268" w:type="dxa"/>
          </w:tcPr>
          <w:p w:rsidR="00A11EE3" w:rsidRPr="00B009AD" w:rsidRDefault="00A11EE3" w:rsidP="003F20A4">
            <w:pPr>
              <w:outlineLvl w:val="2"/>
            </w:pPr>
            <w:r w:rsidRPr="00B009AD">
              <w:t xml:space="preserve">Управление занятости населения </w:t>
            </w:r>
          </w:p>
          <w:p w:rsidR="00A11EE3" w:rsidRPr="00B009AD" w:rsidRDefault="00A11EE3" w:rsidP="003F20A4">
            <w:pPr>
              <w:outlineLvl w:val="2"/>
            </w:pPr>
          </w:p>
          <w:p w:rsidR="00A11EE3" w:rsidRPr="00B009AD" w:rsidRDefault="00A11EE3" w:rsidP="003F20A4">
            <w:pPr>
              <w:outlineLvl w:val="2"/>
            </w:pPr>
            <w:r w:rsidRPr="00B009AD">
              <w:t xml:space="preserve">Управление социальной поддержки населения </w:t>
            </w:r>
          </w:p>
          <w:p w:rsidR="00A11EE3" w:rsidRPr="00B009AD" w:rsidRDefault="00A11EE3" w:rsidP="003F20A4">
            <w:pPr>
              <w:outlineLvl w:val="2"/>
            </w:pPr>
          </w:p>
          <w:p w:rsidR="00A11EE3" w:rsidRPr="00B009AD" w:rsidRDefault="00A11EE3" w:rsidP="003F20A4">
            <w:pPr>
              <w:outlineLvl w:val="2"/>
            </w:pPr>
            <w:r w:rsidRPr="00B009AD">
              <w:t>Финансово-экономическое управление</w:t>
            </w:r>
          </w:p>
          <w:p w:rsidR="00A11EE3" w:rsidRPr="00B009AD" w:rsidRDefault="00A11EE3" w:rsidP="003F20A4">
            <w:pPr>
              <w:outlineLvl w:val="2"/>
            </w:pPr>
          </w:p>
          <w:p w:rsidR="00A11EE3" w:rsidRPr="00B009AD" w:rsidRDefault="00A11EE3" w:rsidP="003F20A4">
            <w:pPr>
              <w:outlineLvl w:val="2"/>
            </w:pPr>
            <w:r w:rsidRPr="00B009AD">
              <w:t xml:space="preserve">Отдел административно-организационной и </w:t>
            </w:r>
            <w:r w:rsidRPr="00B009AD">
              <w:lastRenderedPageBreak/>
              <w:t>правовой работы</w:t>
            </w:r>
          </w:p>
          <w:p w:rsidR="00A11EE3" w:rsidRPr="00B009AD" w:rsidRDefault="00A11EE3" w:rsidP="003F20A4">
            <w:pPr>
              <w:outlineLvl w:val="2"/>
            </w:pPr>
          </w:p>
        </w:tc>
        <w:tc>
          <w:tcPr>
            <w:tcW w:w="3685" w:type="dxa"/>
          </w:tcPr>
          <w:p w:rsidR="00A11EE3" w:rsidRPr="00B009AD" w:rsidRDefault="00A11EE3" w:rsidP="003F20A4">
            <w:pPr>
              <w:numPr>
                <w:ilvl w:val="0"/>
                <w:numId w:val="29"/>
              </w:numPr>
              <w:outlineLvl w:val="2"/>
            </w:pPr>
            <w:r w:rsidRPr="00B009AD">
              <w:lastRenderedPageBreak/>
              <w:t>создание дискриминационных или преимущественных условий для отдельных хозяйствующих субъектов;</w:t>
            </w:r>
          </w:p>
          <w:p w:rsidR="00A11EE3" w:rsidRPr="00B009AD" w:rsidRDefault="00A11EE3" w:rsidP="003F20A4">
            <w:pPr>
              <w:numPr>
                <w:ilvl w:val="0"/>
                <w:numId w:val="29"/>
              </w:numPr>
              <w:outlineLvl w:val="2"/>
            </w:pPr>
            <w:r w:rsidRPr="00B009AD">
              <w:t>введение дополнительных (необоснованных) ограничений и требований для отдельных хозяйствующих субъектов;</w:t>
            </w:r>
          </w:p>
          <w:p w:rsidR="00A11EE3" w:rsidRPr="00B009AD" w:rsidRDefault="00A11EE3" w:rsidP="003F20A4">
            <w:pPr>
              <w:numPr>
                <w:ilvl w:val="0"/>
                <w:numId w:val="29"/>
              </w:numPr>
              <w:outlineLvl w:val="2"/>
            </w:pPr>
            <w:r w:rsidRPr="00B009AD">
              <w:t xml:space="preserve">введение ограничений прав граждан на выбор хозяйствующего </w:t>
            </w:r>
            <w:proofErr w:type="spellStart"/>
            <w:r w:rsidRPr="00B009AD">
              <w:t>субьекта</w:t>
            </w:r>
            <w:proofErr w:type="spellEnd"/>
            <w:r w:rsidRPr="00B009AD">
              <w:t xml:space="preserve"> при получении мер социальной поддержки в форме денежной выплаты</w:t>
            </w:r>
          </w:p>
        </w:tc>
        <w:tc>
          <w:tcPr>
            <w:tcW w:w="4111" w:type="dxa"/>
          </w:tcPr>
          <w:p w:rsidR="00A11EE3" w:rsidRPr="00B009AD" w:rsidRDefault="00A11EE3" w:rsidP="003F20A4">
            <w:pPr>
              <w:numPr>
                <w:ilvl w:val="0"/>
                <w:numId w:val="28"/>
              </w:numPr>
            </w:pPr>
            <w:r w:rsidRPr="00B009AD">
              <w:t>отсутствие у специалистов необходимых и достаточных знаний в области нормотворческой деятельности;</w:t>
            </w:r>
          </w:p>
          <w:p w:rsidR="00A11EE3" w:rsidRPr="00B009AD" w:rsidRDefault="00A11EE3" w:rsidP="003F20A4">
            <w:pPr>
              <w:numPr>
                <w:ilvl w:val="0"/>
                <w:numId w:val="28"/>
              </w:numPr>
            </w:pPr>
            <w:r w:rsidRPr="00B009AD">
              <w:t>сжатые сроки принятия НПА;</w:t>
            </w:r>
          </w:p>
          <w:p w:rsidR="00A11EE3" w:rsidRPr="00B009AD" w:rsidRDefault="00A11EE3" w:rsidP="003F20A4">
            <w:pPr>
              <w:numPr>
                <w:ilvl w:val="0"/>
                <w:numId w:val="28"/>
              </w:numPr>
            </w:pPr>
            <w:r w:rsidRPr="00B009AD">
              <w:t>неприменение, ошибочное применение антимонопольного законодательства при подготовке НПА;</w:t>
            </w:r>
          </w:p>
          <w:p w:rsidR="00A11EE3" w:rsidRPr="00B009AD" w:rsidRDefault="00A11EE3" w:rsidP="003F20A4">
            <w:pPr>
              <w:numPr>
                <w:ilvl w:val="0"/>
                <w:numId w:val="28"/>
              </w:numPr>
            </w:pPr>
            <w:r w:rsidRPr="00B009AD">
              <w:t>высокая нагрузка на специалистов;</w:t>
            </w:r>
          </w:p>
          <w:p w:rsidR="00A11EE3" w:rsidRPr="00B009AD" w:rsidRDefault="00A11EE3" w:rsidP="003F20A4">
            <w:pPr>
              <w:numPr>
                <w:ilvl w:val="0"/>
                <w:numId w:val="28"/>
              </w:numPr>
            </w:pPr>
            <w:r w:rsidRPr="00B009AD">
              <w:t>отсутствие достаточного количества кадров;</w:t>
            </w:r>
          </w:p>
          <w:p w:rsidR="00A11EE3" w:rsidRPr="00B009AD" w:rsidRDefault="00A11EE3" w:rsidP="003F20A4">
            <w:pPr>
              <w:numPr>
                <w:ilvl w:val="0"/>
                <w:numId w:val="28"/>
              </w:numPr>
            </w:pPr>
            <w:proofErr w:type="spellStart"/>
            <w:r w:rsidRPr="00B009AD">
              <w:t>неразмещение</w:t>
            </w:r>
            <w:proofErr w:type="spellEnd"/>
            <w:r w:rsidRPr="00B009AD">
              <w:t xml:space="preserve"> проекта НПА на официальном сайте Департамента для проведения анализа на предмет </w:t>
            </w:r>
            <w:r w:rsidRPr="00B009AD">
              <w:lastRenderedPageBreak/>
              <w:t>соответствия его антимонопольному законодательству;</w:t>
            </w:r>
          </w:p>
          <w:p w:rsidR="00A11EE3" w:rsidRPr="00B009AD" w:rsidRDefault="00A11EE3" w:rsidP="003F20A4">
            <w:pPr>
              <w:numPr>
                <w:ilvl w:val="0"/>
                <w:numId w:val="28"/>
              </w:numPr>
            </w:pPr>
            <w:r w:rsidRPr="00B009AD">
              <w:t>недостаточный уровень правовой экспертизы;</w:t>
            </w:r>
          </w:p>
          <w:p w:rsidR="00A11EE3" w:rsidRPr="00B009AD" w:rsidRDefault="00A11EE3" w:rsidP="003F20A4">
            <w:pPr>
              <w:numPr>
                <w:ilvl w:val="0"/>
                <w:numId w:val="28"/>
              </w:numPr>
              <w:outlineLvl w:val="2"/>
            </w:pPr>
            <w:r w:rsidRPr="00B009AD">
              <w:t>недостаточный уровень внутреннего контроля</w:t>
            </w:r>
          </w:p>
        </w:tc>
        <w:tc>
          <w:tcPr>
            <w:tcW w:w="2026" w:type="dxa"/>
          </w:tcPr>
          <w:p w:rsidR="00A11EE3" w:rsidRPr="00B009AD" w:rsidRDefault="00A11EE3" w:rsidP="003F20A4">
            <w:pPr>
              <w:outlineLvl w:val="2"/>
            </w:pPr>
            <w:r w:rsidRPr="00B009AD">
              <w:lastRenderedPageBreak/>
              <w:t>незначительный</w:t>
            </w:r>
          </w:p>
        </w:tc>
      </w:tr>
      <w:tr w:rsidR="00A11EE3" w:rsidRPr="00B009AD" w:rsidTr="003F20A4">
        <w:tc>
          <w:tcPr>
            <w:tcW w:w="675" w:type="dxa"/>
          </w:tcPr>
          <w:p w:rsidR="00A11EE3" w:rsidRPr="00B009AD" w:rsidRDefault="00A11EE3" w:rsidP="003F20A4">
            <w:pPr>
              <w:outlineLvl w:val="2"/>
            </w:pPr>
            <w:r w:rsidRPr="00B009AD">
              <w:t>4.</w:t>
            </w:r>
          </w:p>
        </w:tc>
        <w:tc>
          <w:tcPr>
            <w:tcW w:w="2127" w:type="dxa"/>
          </w:tcPr>
          <w:p w:rsidR="00A11EE3" w:rsidRPr="00B009AD" w:rsidRDefault="00A11EE3" w:rsidP="003F20A4">
            <w:pPr>
              <w:outlineLvl w:val="2"/>
            </w:pPr>
            <w:r w:rsidRPr="00B009AD">
              <w:t>Применение мер</w:t>
            </w:r>
          </w:p>
          <w:p w:rsidR="00A11EE3" w:rsidRPr="00B009AD" w:rsidRDefault="00A11EE3" w:rsidP="003F20A4">
            <w:pPr>
              <w:outlineLvl w:val="2"/>
            </w:pPr>
            <w:r w:rsidRPr="00B009AD">
              <w:t>административной</w:t>
            </w:r>
          </w:p>
          <w:p w:rsidR="00A11EE3" w:rsidRPr="00B009AD" w:rsidRDefault="00A11EE3" w:rsidP="003F20A4">
            <w:pPr>
              <w:outlineLvl w:val="2"/>
            </w:pPr>
            <w:r w:rsidRPr="00B009AD">
              <w:t>ответственности</w:t>
            </w:r>
          </w:p>
        </w:tc>
        <w:tc>
          <w:tcPr>
            <w:tcW w:w="2268" w:type="dxa"/>
          </w:tcPr>
          <w:p w:rsidR="00A11EE3" w:rsidRPr="00B009AD" w:rsidRDefault="00A11EE3" w:rsidP="003F20A4">
            <w:pPr>
              <w:outlineLvl w:val="2"/>
            </w:pPr>
            <w:r w:rsidRPr="00B009AD">
              <w:t>Управление занятости населения</w:t>
            </w:r>
          </w:p>
          <w:p w:rsidR="00A11EE3" w:rsidRPr="00B009AD" w:rsidRDefault="00A11EE3" w:rsidP="003F20A4">
            <w:pPr>
              <w:outlineLvl w:val="2"/>
            </w:pPr>
          </w:p>
          <w:p w:rsidR="00A11EE3" w:rsidRPr="00B009AD" w:rsidRDefault="00A11EE3" w:rsidP="003F20A4">
            <w:pPr>
              <w:outlineLvl w:val="2"/>
            </w:pPr>
            <w:r w:rsidRPr="00B009AD">
              <w:t>Отдел административно-организационной и правовой работы</w:t>
            </w:r>
          </w:p>
          <w:p w:rsidR="00A11EE3" w:rsidRPr="00B009AD" w:rsidRDefault="00A11EE3" w:rsidP="003F20A4">
            <w:pPr>
              <w:outlineLvl w:val="2"/>
            </w:pPr>
          </w:p>
        </w:tc>
        <w:tc>
          <w:tcPr>
            <w:tcW w:w="3685" w:type="dxa"/>
          </w:tcPr>
          <w:p w:rsidR="00A11EE3" w:rsidRPr="00B009AD" w:rsidRDefault="00A11EE3" w:rsidP="003F20A4">
            <w:pPr>
              <w:numPr>
                <w:ilvl w:val="0"/>
                <w:numId w:val="29"/>
              </w:numPr>
              <w:outlineLvl w:val="2"/>
            </w:pPr>
            <w:r w:rsidRPr="00B009AD">
              <w:t>внесение заведомо ложных сведений в процессуальные документы при производстве административного дела;</w:t>
            </w:r>
          </w:p>
          <w:p w:rsidR="00A11EE3" w:rsidRPr="00B009AD" w:rsidRDefault="00A11EE3" w:rsidP="003F20A4">
            <w:pPr>
              <w:numPr>
                <w:ilvl w:val="0"/>
                <w:numId w:val="29"/>
              </w:numPr>
              <w:outlineLvl w:val="2"/>
            </w:pPr>
            <w:r w:rsidRPr="00B009AD">
              <w:t>составление протокола (предостережения) на заведомо неуполномоченного представителя юридического лица (индивидуального предпринимателя);</w:t>
            </w:r>
          </w:p>
          <w:p w:rsidR="00A11EE3" w:rsidRPr="00B009AD" w:rsidRDefault="00A11EE3" w:rsidP="003F20A4">
            <w:pPr>
              <w:numPr>
                <w:ilvl w:val="0"/>
                <w:numId w:val="29"/>
              </w:numPr>
              <w:outlineLvl w:val="2"/>
            </w:pPr>
            <w:r w:rsidRPr="00B009AD">
              <w:t>направление протокола (предостережения) с нарушением установленного срока или не направление протокола (предостережения) в целях последующей их отмены</w:t>
            </w:r>
          </w:p>
        </w:tc>
        <w:tc>
          <w:tcPr>
            <w:tcW w:w="4111" w:type="dxa"/>
          </w:tcPr>
          <w:p w:rsidR="00A11EE3" w:rsidRPr="00B009AD" w:rsidRDefault="00A11EE3" w:rsidP="003F20A4">
            <w:pPr>
              <w:numPr>
                <w:ilvl w:val="0"/>
                <w:numId w:val="28"/>
              </w:numPr>
              <w:outlineLvl w:val="2"/>
            </w:pPr>
            <w:r w:rsidRPr="00B009AD">
              <w:t>недостаточный уровень правовой экспертизы,</w:t>
            </w:r>
          </w:p>
          <w:p w:rsidR="00A11EE3" w:rsidRPr="00B009AD" w:rsidRDefault="00A11EE3" w:rsidP="003F20A4">
            <w:pPr>
              <w:numPr>
                <w:ilvl w:val="0"/>
                <w:numId w:val="28"/>
              </w:numPr>
              <w:outlineLvl w:val="2"/>
            </w:pPr>
            <w:r w:rsidRPr="00B009AD">
              <w:t>невнимательность при проверке документов;</w:t>
            </w:r>
          </w:p>
          <w:p w:rsidR="00A11EE3" w:rsidRPr="00B009AD" w:rsidRDefault="00A11EE3" w:rsidP="003F20A4">
            <w:pPr>
              <w:numPr>
                <w:ilvl w:val="0"/>
                <w:numId w:val="28"/>
              </w:numPr>
              <w:outlineLvl w:val="2"/>
            </w:pPr>
            <w:r w:rsidRPr="00B009AD">
              <w:t>недостаточный уровень внутреннего контроля;</w:t>
            </w:r>
          </w:p>
          <w:p w:rsidR="00A11EE3" w:rsidRPr="00B009AD" w:rsidRDefault="00A11EE3" w:rsidP="003F20A4">
            <w:pPr>
              <w:numPr>
                <w:ilvl w:val="0"/>
                <w:numId w:val="28"/>
              </w:numPr>
              <w:outlineLvl w:val="2"/>
            </w:pPr>
            <w:r w:rsidRPr="00B009AD">
              <w:t>непринятие мер по исключению конфликта интересов.</w:t>
            </w:r>
          </w:p>
        </w:tc>
        <w:tc>
          <w:tcPr>
            <w:tcW w:w="2026" w:type="dxa"/>
          </w:tcPr>
          <w:p w:rsidR="00A11EE3" w:rsidRPr="00B009AD" w:rsidRDefault="00A11EE3" w:rsidP="003F20A4">
            <w:pPr>
              <w:outlineLvl w:val="2"/>
            </w:pPr>
            <w:r w:rsidRPr="00B009AD">
              <w:t>низкий</w:t>
            </w:r>
          </w:p>
        </w:tc>
      </w:tr>
    </w:tbl>
    <w:p w:rsidR="00A11EE3" w:rsidRPr="00DF5A56" w:rsidRDefault="00A11EE3" w:rsidP="00A11EE3">
      <w:pPr>
        <w:outlineLvl w:val="2"/>
      </w:pPr>
    </w:p>
    <w:p w:rsidR="00A11EE3" w:rsidRPr="00DF5A56" w:rsidRDefault="00A11EE3" w:rsidP="00A11EE3">
      <w:pPr>
        <w:outlineLvl w:val="2"/>
      </w:pPr>
    </w:p>
    <w:p w:rsidR="00A11EE3" w:rsidRPr="00686551" w:rsidRDefault="00A11EE3" w:rsidP="00A11EE3"/>
    <w:p w:rsidR="00A11EE3" w:rsidRPr="006004DE" w:rsidRDefault="00A11EE3" w:rsidP="00A11EE3"/>
    <w:p w:rsidR="00686551" w:rsidRPr="00144A58" w:rsidRDefault="00686551" w:rsidP="00686551">
      <w:pPr>
        <w:outlineLvl w:val="2"/>
        <w:rPr>
          <w:sz w:val="28"/>
          <w:szCs w:val="28"/>
        </w:rPr>
      </w:pPr>
    </w:p>
    <w:p w:rsidR="00BA4B92" w:rsidRPr="00686551" w:rsidRDefault="00BA4B92" w:rsidP="00686551"/>
    <w:sectPr w:rsidR="00BA4B92" w:rsidRPr="00686551" w:rsidSect="00A11EE3">
      <w:pgSz w:w="16838" w:h="11906" w:orient="landscape"/>
      <w:pgMar w:top="1418" w:right="567" w:bottom="709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987" w:rsidRDefault="00F87987">
      <w:r>
        <w:separator/>
      </w:r>
    </w:p>
  </w:endnote>
  <w:endnote w:type="continuationSeparator" w:id="0">
    <w:p w:rsidR="00F87987" w:rsidRDefault="00F8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620" w:rsidRDefault="00140620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620" w:rsidRDefault="00140620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620" w:rsidRDefault="00140620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987" w:rsidRDefault="00F87987">
      <w:r>
        <w:separator/>
      </w:r>
    </w:p>
  </w:footnote>
  <w:footnote w:type="continuationSeparator" w:id="0">
    <w:p w:rsidR="00F87987" w:rsidRDefault="00F87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620" w:rsidRDefault="001406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620" w:rsidRDefault="0014062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620" w:rsidRDefault="001406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88B902"/>
    <w:multiLevelType w:val="singleLevel"/>
    <w:tmpl w:val="9288B9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F689643B"/>
    <w:multiLevelType w:val="singleLevel"/>
    <w:tmpl w:val="F689643B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6" w15:restartNumberingAfterBreak="0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8" w15:restartNumberingAfterBreak="0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8" w15:restartNumberingAfterBreak="0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8"/>
  </w:num>
  <w:num w:numId="4">
    <w:abstractNumId w:val="13"/>
  </w:num>
  <w:num w:numId="5">
    <w:abstractNumId w:val="23"/>
  </w:num>
  <w:num w:numId="6">
    <w:abstractNumId w:val="4"/>
  </w:num>
  <w:num w:numId="7">
    <w:abstractNumId w:val="11"/>
  </w:num>
  <w:num w:numId="8">
    <w:abstractNumId w:val="19"/>
  </w:num>
  <w:num w:numId="9">
    <w:abstractNumId w:val="24"/>
  </w:num>
  <w:num w:numId="10">
    <w:abstractNumId w:val="22"/>
  </w:num>
  <w:num w:numId="11">
    <w:abstractNumId w:val="18"/>
  </w:num>
  <w:num w:numId="12">
    <w:abstractNumId w:val="6"/>
  </w:num>
  <w:num w:numId="13">
    <w:abstractNumId w:val="26"/>
  </w:num>
  <w:num w:numId="14">
    <w:abstractNumId w:val="16"/>
  </w:num>
  <w:num w:numId="15">
    <w:abstractNumId w:val="27"/>
  </w:num>
  <w:num w:numId="16">
    <w:abstractNumId w:val="21"/>
  </w:num>
  <w:num w:numId="17">
    <w:abstractNumId w:val="8"/>
  </w:num>
  <w:num w:numId="18">
    <w:abstractNumId w:val="14"/>
  </w:num>
  <w:num w:numId="19">
    <w:abstractNumId w:val="17"/>
  </w:num>
  <w:num w:numId="20">
    <w:abstractNumId w:val="20"/>
  </w:num>
  <w:num w:numId="21">
    <w:abstractNumId w:val="9"/>
  </w:num>
  <w:num w:numId="22">
    <w:abstractNumId w:val="2"/>
  </w:num>
  <w:num w:numId="23">
    <w:abstractNumId w:val="3"/>
  </w:num>
  <w:num w:numId="24">
    <w:abstractNumId w:val="10"/>
  </w:num>
  <w:num w:numId="25">
    <w:abstractNumId w:val="15"/>
  </w:num>
  <w:num w:numId="26">
    <w:abstractNumId w:val="25"/>
  </w:num>
  <w:num w:numId="27">
    <w:abstractNumId w:val="12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9C"/>
    <w:rsid w:val="000003E5"/>
    <w:rsid w:val="0000090B"/>
    <w:rsid w:val="00001263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0D62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A5F2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9F4B61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1EE3"/>
    <w:rsid w:val="00A14FA5"/>
    <w:rsid w:val="00A15DF4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4446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642B1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87987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51023"/>
  <w15:docId w15:val="{84B72D9F-00E8-48A6-83F9-5EC7122E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2B4A5-38AE-4C61-A93E-ED07C1BD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org2</cp:lastModifiedBy>
  <cp:revision>2</cp:revision>
  <cp:lastPrinted>2015-10-26T23:56:00Z</cp:lastPrinted>
  <dcterms:created xsi:type="dcterms:W3CDTF">2023-11-22T03:24:00Z</dcterms:created>
  <dcterms:modified xsi:type="dcterms:W3CDTF">2023-11-22T03:24:00Z</dcterms:modified>
</cp:coreProperties>
</file>