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79" w:rsidRDefault="00321179">
      <w:pPr>
        <w:jc w:val="right"/>
        <w:rPr>
          <w:sz w:val="24"/>
          <w:szCs w:val="24"/>
        </w:rPr>
      </w:pPr>
    </w:p>
    <w:p w:rsidR="00321179" w:rsidRDefault="00321179"/>
    <w:p w:rsidR="00321179" w:rsidRDefault="00C647C0">
      <w:pPr>
        <w:framePr w:w="1153" w:h="1441" w:hSpace="180" w:wrap="auto" w:vAnchor="text" w:hAnchor="page" w:x="5842" w:y="1"/>
        <w:jc w:val="center"/>
      </w:pPr>
      <w:r w:rsidRPr="008C40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7.75pt;height:72.75pt;visibility:visible;mso-wrap-style:square">
            <v:imagedata r:id="rId7" o:title=""/>
          </v:shape>
        </w:pict>
      </w:r>
    </w:p>
    <w:p w:rsidR="00321179" w:rsidRDefault="00321179">
      <w:pPr>
        <w:jc w:val="center"/>
      </w:pPr>
    </w:p>
    <w:p w:rsidR="00321179" w:rsidRDefault="00321179">
      <w:pPr>
        <w:jc w:val="center"/>
      </w:pPr>
    </w:p>
    <w:p w:rsidR="00321179" w:rsidRDefault="00321179">
      <w:pPr>
        <w:jc w:val="center"/>
      </w:pPr>
    </w:p>
    <w:p w:rsidR="00321179" w:rsidRDefault="00C647C0">
      <w:pPr>
        <w:jc w:val="center"/>
        <w:rPr>
          <w:rFonts w:ascii="Courier" w:hAnsi="Courier"/>
          <w:sz w:val="24"/>
        </w:rPr>
      </w:pPr>
      <w:r>
        <w:t xml:space="preserve"> </w:t>
      </w:r>
    </w:p>
    <w:p w:rsidR="00321179" w:rsidRDefault="00321179">
      <w:pPr>
        <w:rPr>
          <w:sz w:val="20"/>
        </w:rPr>
      </w:pPr>
    </w:p>
    <w:p w:rsidR="00321179" w:rsidRDefault="00321179">
      <w:pPr>
        <w:pStyle w:val="a3"/>
        <w:rPr>
          <w:sz w:val="20"/>
        </w:rPr>
      </w:pPr>
    </w:p>
    <w:p w:rsidR="00321179" w:rsidRDefault="00C647C0">
      <w:pPr>
        <w:pStyle w:val="a3"/>
        <w:rPr>
          <w:szCs w:val="28"/>
        </w:rPr>
      </w:pPr>
      <w:r>
        <w:rPr>
          <w:szCs w:val="28"/>
        </w:rPr>
        <w:t xml:space="preserve">ДЕПАРТАМЕНТ ЗДРАВООХРАНЕНИЯ </w:t>
      </w:r>
    </w:p>
    <w:p w:rsidR="00321179" w:rsidRDefault="00C647C0">
      <w:pPr>
        <w:pStyle w:val="a3"/>
        <w:rPr>
          <w:szCs w:val="28"/>
        </w:rPr>
      </w:pPr>
      <w:r>
        <w:rPr>
          <w:szCs w:val="28"/>
        </w:rPr>
        <w:t>ЧУКОТСКОГО АВТОНОМНОГО ОКРУГА</w:t>
      </w:r>
    </w:p>
    <w:p w:rsidR="00321179" w:rsidRDefault="00321179">
      <w:pPr>
        <w:jc w:val="center"/>
        <w:rPr>
          <w:sz w:val="32"/>
          <w:szCs w:val="32"/>
        </w:rPr>
      </w:pPr>
    </w:p>
    <w:p w:rsidR="00321179" w:rsidRDefault="00C647C0">
      <w:pPr>
        <w:pStyle w:val="1"/>
        <w:rPr>
          <w:rFonts w:ascii="Calibri" w:hAnsi="Calibri"/>
          <w:spacing w:val="60"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ПРИКАЗ</w:t>
      </w:r>
    </w:p>
    <w:p w:rsidR="00321179" w:rsidRDefault="00321179">
      <w:pPr>
        <w:rPr>
          <w:sz w:val="20"/>
        </w:rPr>
      </w:pPr>
    </w:p>
    <w:p w:rsidR="00321179" w:rsidRDefault="00321179">
      <w:pPr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3969"/>
      </w:tblGrid>
      <w:tr w:rsidR="00321179">
        <w:trPr>
          <w:trHeight w:val="298"/>
        </w:trPr>
        <w:tc>
          <w:tcPr>
            <w:tcW w:w="534" w:type="dxa"/>
          </w:tcPr>
          <w:p w:rsidR="00321179" w:rsidRDefault="00C647C0">
            <w:pPr>
              <w:pStyle w:val="a4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321179" w:rsidRDefault="00A01C93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января 2025</w:t>
            </w:r>
            <w:bookmarkStart w:id="0" w:name="_GoBack"/>
            <w:bookmarkEnd w:id="0"/>
            <w:r w:rsidR="00C647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321179" w:rsidRDefault="00C647C0">
            <w:pPr>
              <w:pStyle w:val="a4"/>
              <w:tabs>
                <w:tab w:val="left" w:pos="708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321179" w:rsidRDefault="00C647C0">
            <w:pPr>
              <w:pStyle w:val="a4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969" w:type="dxa"/>
          </w:tcPr>
          <w:p w:rsidR="00321179" w:rsidRDefault="00C647C0">
            <w:pPr>
              <w:pStyle w:val="a4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г. Анадырь</w:t>
            </w:r>
          </w:p>
        </w:tc>
      </w:tr>
    </w:tbl>
    <w:p w:rsidR="00321179" w:rsidRDefault="00321179">
      <w:pPr>
        <w:jc w:val="both"/>
        <w:rPr>
          <w:szCs w:val="28"/>
        </w:rPr>
      </w:pPr>
    </w:p>
    <w:p w:rsidR="00321179" w:rsidRDefault="00321179">
      <w:pPr>
        <w:jc w:val="both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21179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1179" w:rsidRDefault="00C647C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карты рисков нарушения антимонопольного законодательства Департамента здравоохранения Чукотского автономного округа на 2025 год</w:t>
            </w:r>
          </w:p>
        </w:tc>
      </w:tr>
    </w:tbl>
    <w:p w:rsidR="00321179" w:rsidRDefault="00321179">
      <w:pPr>
        <w:pStyle w:val="af0"/>
        <w:ind w:firstLine="720"/>
        <w:jc w:val="both"/>
        <w:rPr>
          <w:sz w:val="28"/>
          <w:szCs w:val="28"/>
        </w:rPr>
      </w:pPr>
    </w:p>
    <w:p w:rsidR="00321179" w:rsidRDefault="00321179">
      <w:pPr>
        <w:pStyle w:val="af0"/>
        <w:ind w:firstLine="720"/>
        <w:jc w:val="both"/>
        <w:rPr>
          <w:sz w:val="28"/>
          <w:szCs w:val="28"/>
        </w:rPr>
      </w:pPr>
    </w:p>
    <w:p w:rsidR="00321179" w:rsidRDefault="00C647C0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В целях реализации Указа Президента Российской Федерации от 21 декабря 2017 года № 618 «Об основных направлени</w:t>
      </w:r>
      <w:r>
        <w:rPr>
          <w:szCs w:val="28"/>
        </w:rPr>
        <w:t xml:space="preserve">ях государственной политики по развитию конкуренции», в соответствии с распоряжением Правительства Российской Федерации от 18 октября 2018 года № 2258-р и приказом Департамента здравоохранения  Чукотского автономного округа от 17 февраля 2022 года № 88 «О </w:t>
      </w:r>
      <w:r>
        <w:rPr>
          <w:szCs w:val="28"/>
        </w:rPr>
        <w:t>системе внутреннего обеспечения соответствия требованиям антимонопольного законодательства в Департаменте социальной политики Чукотского автономного округа»,</w:t>
      </w:r>
    </w:p>
    <w:p w:rsidR="00321179" w:rsidRDefault="00321179">
      <w:pPr>
        <w:jc w:val="both"/>
        <w:rPr>
          <w:szCs w:val="28"/>
        </w:rPr>
      </w:pPr>
    </w:p>
    <w:p w:rsidR="00321179" w:rsidRDefault="00C647C0">
      <w:pPr>
        <w:jc w:val="both"/>
        <w:rPr>
          <w:b/>
          <w:bCs/>
          <w:spacing w:val="20"/>
          <w:szCs w:val="28"/>
        </w:rPr>
      </w:pPr>
      <w:r>
        <w:rPr>
          <w:rFonts w:ascii="Times New Roman Полужирный" w:hAnsi="Times New Roman Полужирный"/>
          <w:b/>
          <w:bCs/>
          <w:spacing w:val="60"/>
          <w:szCs w:val="28"/>
        </w:rPr>
        <w:t>ПРИКАЗЫВАЮ</w:t>
      </w:r>
      <w:r>
        <w:rPr>
          <w:b/>
          <w:bCs/>
          <w:spacing w:val="20"/>
          <w:szCs w:val="28"/>
        </w:rPr>
        <w:t>:</w:t>
      </w:r>
    </w:p>
    <w:p w:rsidR="00321179" w:rsidRDefault="00321179">
      <w:pPr>
        <w:pStyle w:val="ae"/>
        <w:jc w:val="center"/>
        <w:rPr>
          <w:sz w:val="28"/>
          <w:szCs w:val="28"/>
        </w:rPr>
      </w:pPr>
    </w:p>
    <w:p w:rsidR="00321179" w:rsidRDefault="00C647C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>
        <w:rPr>
          <w:szCs w:val="28"/>
        </w:rPr>
        <w:t>Утвердить карту рисков нарушения антимонопольного законодательства Департамента здравоохранения  Чукотского автономного округа согласно приложению к настоящему приказу.</w:t>
      </w:r>
    </w:p>
    <w:p w:rsidR="00321179" w:rsidRDefault="00C647C0">
      <w:pPr>
        <w:tabs>
          <w:tab w:val="left" w:pos="851"/>
          <w:tab w:val="left" w:pos="993"/>
          <w:tab w:val="left" w:pos="1276"/>
          <w:tab w:val="left" w:pos="1560"/>
        </w:tabs>
        <w:ind w:firstLine="567"/>
        <w:jc w:val="both"/>
        <w:rPr>
          <w:szCs w:val="28"/>
        </w:rPr>
      </w:pPr>
      <w:r>
        <w:rPr>
          <w:szCs w:val="28"/>
        </w:rPr>
        <w:t>2. Отделу административной правовой и кадровой работы Департамента здравоохранения Чуко</w:t>
      </w:r>
      <w:r>
        <w:rPr>
          <w:szCs w:val="28"/>
        </w:rPr>
        <w:t>тского автономного округа (Прудьева В.С.) обеспечить ознакомление начальников структурных подразделений Департамента с настоящим приказом.</w:t>
      </w:r>
    </w:p>
    <w:p w:rsidR="00321179" w:rsidRDefault="00C647C0">
      <w:pPr>
        <w:ind w:firstLine="567"/>
        <w:jc w:val="both"/>
        <w:rPr>
          <w:szCs w:val="28"/>
        </w:rPr>
      </w:pPr>
      <w:r>
        <w:rPr>
          <w:szCs w:val="28"/>
        </w:rPr>
        <w:t>3.  Контроль за исполнением настоящего приказа оставляю за собой.</w:t>
      </w:r>
    </w:p>
    <w:p w:rsidR="00321179" w:rsidRDefault="00321179"/>
    <w:p w:rsidR="00321179" w:rsidRDefault="00C647C0">
      <w:r>
        <w:t>Подписано электронной подписью</w:t>
      </w:r>
    </w:p>
    <w:p w:rsidR="00321179" w:rsidRDefault="00321179"/>
    <w:p w:rsidR="00321179" w:rsidRDefault="00321179"/>
    <w:p w:rsidR="00321179" w:rsidRDefault="00321179"/>
    <w:p w:rsidR="00321179" w:rsidRDefault="00321179">
      <w:pPr>
        <w:sectPr w:rsidR="00321179">
          <w:headerReference w:type="even" r:id="rId8"/>
          <w:pgSz w:w="11906" w:h="16838"/>
          <w:pgMar w:top="1134" w:right="851" w:bottom="1134" w:left="1560" w:header="397" w:footer="397" w:gutter="0"/>
          <w:cols w:space="708"/>
          <w:titlePg/>
          <w:docGrid w:linePitch="360"/>
        </w:sectPr>
      </w:pPr>
    </w:p>
    <w:tbl>
      <w:tblPr>
        <w:tblW w:w="15402" w:type="dxa"/>
        <w:tblLook w:val="04A0" w:firstRow="1" w:lastRow="0" w:firstColumn="1" w:lastColumn="0" w:noHBand="0" w:noVBand="1"/>
      </w:tblPr>
      <w:tblGrid>
        <w:gridCol w:w="5117"/>
        <w:gridCol w:w="5197"/>
        <w:gridCol w:w="5088"/>
      </w:tblGrid>
      <w:tr w:rsidR="00321179">
        <w:tc>
          <w:tcPr>
            <w:tcW w:w="5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1179" w:rsidRDefault="00321179">
            <w:pPr>
              <w:outlineLvl w:val="2"/>
              <w:rPr>
                <w:rFonts w:eastAsia="Calibri"/>
                <w:szCs w:val="28"/>
              </w:rPr>
            </w:pPr>
          </w:p>
        </w:tc>
        <w:tc>
          <w:tcPr>
            <w:tcW w:w="51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1179" w:rsidRDefault="00321179">
            <w:pPr>
              <w:outlineLvl w:val="2"/>
              <w:rPr>
                <w:rFonts w:eastAsia="Calibri"/>
                <w:szCs w:val="28"/>
              </w:rPr>
            </w:pPr>
          </w:p>
        </w:tc>
        <w:tc>
          <w:tcPr>
            <w:tcW w:w="5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УТВЕРЖДЕНО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Приказом Департамента здравоохранения Чукотского автономного округа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«23»января  2025г. № 43</w:t>
            </w:r>
          </w:p>
          <w:p w:rsidR="00321179" w:rsidRDefault="00321179">
            <w:pPr>
              <w:outlineLvl w:val="2"/>
              <w:rPr>
                <w:rFonts w:eastAsia="Calibri"/>
                <w:szCs w:val="28"/>
              </w:rPr>
            </w:pPr>
          </w:p>
        </w:tc>
      </w:tr>
    </w:tbl>
    <w:p w:rsidR="00321179" w:rsidRDefault="00321179">
      <w:pPr>
        <w:outlineLvl w:val="2"/>
        <w:rPr>
          <w:szCs w:val="28"/>
        </w:rPr>
      </w:pPr>
    </w:p>
    <w:p w:rsidR="00321179" w:rsidRDefault="00C647C0">
      <w:pPr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Карта рисков нарушения антимонопольного законодательства</w:t>
      </w:r>
    </w:p>
    <w:p w:rsidR="00321179" w:rsidRDefault="00C647C0">
      <w:pPr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Департамента здравоохранения  Чукотского автономного округа на 2025 год</w:t>
      </w:r>
    </w:p>
    <w:p w:rsidR="00321179" w:rsidRDefault="00321179">
      <w:pPr>
        <w:outlineLvl w:val="2"/>
        <w:rPr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578"/>
        <w:gridCol w:w="2408"/>
        <w:gridCol w:w="3143"/>
        <w:gridCol w:w="4810"/>
        <w:gridCol w:w="1853"/>
      </w:tblGrid>
      <w:tr w:rsidR="00321179">
        <w:tc>
          <w:tcPr>
            <w:tcW w:w="484" w:type="dxa"/>
            <w:vAlign w:val="center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</w:t>
            </w:r>
          </w:p>
        </w:tc>
        <w:tc>
          <w:tcPr>
            <w:tcW w:w="2578" w:type="dxa"/>
            <w:vAlign w:val="center"/>
          </w:tcPr>
          <w:p w:rsidR="00321179" w:rsidRDefault="00C647C0">
            <w:pPr>
              <w:jc w:val="center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полномочия (действия, административная процедура), реализация которого связана с рисками</w:t>
            </w:r>
          </w:p>
        </w:tc>
        <w:tc>
          <w:tcPr>
            <w:tcW w:w="2408" w:type="dxa"/>
            <w:vAlign w:val="center"/>
          </w:tcPr>
          <w:p w:rsidR="00321179" w:rsidRDefault="00C647C0">
            <w:pPr>
              <w:jc w:val="center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Наименование структурн</w:t>
            </w:r>
            <w:r>
              <w:rPr>
                <w:rFonts w:eastAsia="Calibri"/>
                <w:sz w:val="20"/>
              </w:rPr>
              <w:t>ых подразделений, при реализации полномочий которых возможно возникновение рисков</w:t>
            </w:r>
          </w:p>
        </w:tc>
        <w:tc>
          <w:tcPr>
            <w:tcW w:w="3143" w:type="dxa"/>
            <w:vAlign w:val="center"/>
          </w:tcPr>
          <w:p w:rsidR="00321179" w:rsidRDefault="00C647C0">
            <w:pPr>
              <w:jc w:val="center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Риск (краткое описание)</w:t>
            </w:r>
          </w:p>
        </w:tc>
        <w:tc>
          <w:tcPr>
            <w:tcW w:w="4810" w:type="dxa"/>
            <w:vAlign w:val="center"/>
          </w:tcPr>
          <w:p w:rsidR="00321179" w:rsidRDefault="00C647C0">
            <w:pPr>
              <w:jc w:val="center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Причины (условия) возникновения риска</w:t>
            </w:r>
          </w:p>
        </w:tc>
        <w:tc>
          <w:tcPr>
            <w:tcW w:w="1853" w:type="dxa"/>
            <w:vAlign w:val="center"/>
          </w:tcPr>
          <w:p w:rsidR="00321179" w:rsidRDefault="00C647C0">
            <w:pPr>
              <w:jc w:val="center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Уровень риска</w:t>
            </w:r>
          </w:p>
        </w:tc>
      </w:tr>
      <w:tr w:rsidR="00321179">
        <w:tc>
          <w:tcPr>
            <w:tcW w:w="484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</w:t>
            </w:r>
          </w:p>
        </w:tc>
        <w:tc>
          <w:tcPr>
            <w:tcW w:w="2578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Организация и проведение закупок товаров, работ, услуг для государственных нужд</w:t>
            </w:r>
          </w:p>
        </w:tc>
        <w:tc>
          <w:tcPr>
            <w:tcW w:w="2408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 организации государственных закупок</w:t>
            </w:r>
          </w:p>
        </w:tc>
        <w:tc>
          <w:tcPr>
            <w:tcW w:w="3143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координация деятельности участников закупки;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заключение государственных контрактов (договоров) между заказчиком с участниками закупки, если такие государственные контракты (договоры) имеют своей целью либо прив</w:t>
            </w:r>
            <w:r>
              <w:rPr>
                <w:rFonts w:eastAsia="Calibri"/>
                <w:szCs w:val="28"/>
              </w:rPr>
              <w:t xml:space="preserve">одят или могут привести к ограничению конкуренции и (или) </w:t>
            </w:r>
            <w:r>
              <w:rPr>
                <w:rFonts w:eastAsia="Calibri"/>
                <w:szCs w:val="28"/>
              </w:rPr>
              <w:lastRenderedPageBreak/>
              <w:t>созданию преимущественных условий для каких-либо участников;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создание участнику закупки или нескольким участникам закупки преимущественных условий участия в закупке, в том числе путем доступа к ин</w:t>
            </w:r>
            <w:r>
              <w:rPr>
                <w:rFonts w:eastAsia="Calibri"/>
                <w:szCs w:val="28"/>
              </w:rPr>
              <w:t>формации;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нарушение порядка определения победителя закупки;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нарушение порядка определения начальной (максимальной) цены государственного контракта</w:t>
            </w:r>
          </w:p>
        </w:tc>
        <w:tc>
          <w:tcPr>
            <w:tcW w:w="4810" w:type="dxa"/>
          </w:tcPr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несоблюдение принципов открытости, прозрачности информации о контрактной системе в сфере закупок, обеспеч</w:t>
            </w:r>
            <w:r>
              <w:rPr>
                <w:rFonts w:eastAsia="Calibri"/>
                <w:szCs w:val="28"/>
              </w:rPr>
              <w:t>ения конкуренции, профессионализма заказчика;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высокая нагрузка на сотрудников;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отсутствие достаточной квалификации сотрудников;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поручение вышестоящего руководства;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непринятие мер по исключению конфликта интересов;</w:t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предоставление недостоверных сведений дл</w:t>
            </w:r>
            <w:r>
              <w:rPr>
                <w:rFonts w:eastAsia="Calibri"/>
                <w:szCs w:val="28"/>
              </w:rPr>
              <w:t xml:space="preserve">я определения начальной </w:t>
            </w:r>
            <w:r>
              <w:rPr>
                <w:rFonts w:eastAsia="Calibri"/>
                <w:szCs w:val="28"/>
              </w:rPr>
              <w:lastRenderedPageBreak/>
              <w:t>(максимальной) цены контракта</w:t>
            </w:r>
          </w:p>
        </w:tc>
        <w:tc>
          <w:tcPr>
            <w:tcW w:w="1853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высокий</w:t>
            </w:r>
          </w:p>
        </w:tc>
      </w:tr>
      <w:tr w:rsidR="00321179">
        <w:tc>
          <w:tcPr>
            <w:tcW w:w="484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2578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Разработка проектов НПА, регламентирующих взаимодействие (деятельность), права и интересы хозяйствующих субъектов в сферах деятельности </w:t>
            </w:r>
            <w:r>
              <w:rPr>
                <w:rFonts w:eastAsia="Calibri"/>
                <w:szCs w:val="28"/>
              </w:rPr>
              <w:lastRenderedPageBreak/>
              <w:t>Департамента</w:t>
            </w:r>
          </w:p>
        </w:tc>
        <w:tc>
          <w:tcPr>
            <w:tcW w:w="2408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Отдел организации государственных закупок </w:t>
            </w:r>
          </w:p>
          <w:p w:rsidR="00321179" w:rsidRDefault="00321179">
            <w:pPr>
              <w:outlineLvl w:val="2"/>
              <w:rPr>
                <w:rFonts w:eastAsia="Calibri"/>
                <w:szCs w:val="28"/>
              </w:rPr>
            </w:pP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Финансово-экономическое управление</w:t>
            </w:r>
          </w:p>
          <w:p w:rsidR="00321179" w:rsidRDefault="00321179">
            <w:pPr>
              <w:outlineLvl w:val="2"/>
              <w:rPr>
                <w:rFonts w:eastAsia="Calibri"/>
                <w:szCs w:val="28"/>
              </w:rPr>
            </w:pP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Отдел по организации медицинской помощи взрослому населению</w:t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 по организации медицинской помощи детям и матерям </w:t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Сектор лицензирования медицинской и фармацевтической деятельности</w:t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  <w:r>
              <w:rPr>
                <w:rFonts w:eastAsia="Calibri"/>
                <w:szCs w:val="28"/>
              </w:rPr>
              <w:tab/>
            </w:r>
          </w:p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 административной, правовой и кадровой работы </w:t>
            </w:r>
          </w:p>
        </w:tc>
        <w:tc>
          <w:tcPr>
            <w:tcW w:w="3143" w:type="dxa"/>
          </w:tcPr>
          <w:p w:rsidR="00321179" w:rsidRDefault="00C647C0">
            <w:pPr>
              <w:numPr>
                <w:ilvl w:val="0"/>
                <w:numId w:val="2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создание дискриминационных или преимущественных условий для отдельных хозяйствующих субъектов;</w:t>
            </w:r>
          </w:p>
          <w:p w:rsidR="00321179" w:rsidRDefault="00C647C0">
            <w:pPr>
              <w:numPr>
                <w:ilvl w:val="0"/>
                <w:numId w:val="2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введение дополнительных (необоснованных</w:t>
            </w:r>
            <w:r>
              <w:rPr>
                <w:rFonts w:eastAsia="Calibri"/>
                <w:szCs w:val="28"/>
              </w:rPr>
              <w:t xml:space="preserve">) </w:t>
            </w:r>
            <w:r>
              <w:rPr>
                <w:rFonts w:eastAsia="Calibri"/>
                <w:szCs w:val="28"/>
              </w:rPr>
              <w:lastRenderedPageBreak/>
              <w:t>ограничений и требований для отдельных хозяйствующих субъектов;</w:t>
            </w:r>
          </w:p>
          <w:p w:rsidR="00321179" w:rsidRDefault="00C647C0">
            <w:pPr>
              <w:numPr>
                <w:ilvl w:val="0"/>
                <w:numId w:val="2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введение ограничений прав граждан на выбор хозяйствующего субьекта при получении мер социальной поддержки в форме денежной выплаты</w:t>
            </w:r>
          </w:p>
        </w:tc>
        <w:tc>
          <w:tcPr>
            <w:tcW w:w="4810" w:type="dxa"/>
          </w:tcPr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отсутствие у специалистов необходимых и достаточных знаний в области нормотворческой деятельности;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сжатые сроки принятия НПА;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неприменение, ошибочное применение антимонопольного законодательства при подготовке НПА;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высокая нагрузка на специалистов;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отсутст</w:t>
            </w:r>
            <w:r>
              <w:rPr>
                <w:rFonts w:eastAsia="Calibri"/>
                <w:szCs w:val="28"/>
              </w:rPr>
              <w:t>вие достаточного количества кадров;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неразмещение проекта НПА на официальном сайте Департамента для проведения анализа на предмет соответствия его антимонопольному законодательству;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недостаточный </w:t>
            </w:r>
            <w:r>
              <w:rPr>
                <w:rFonts w:eastAsia="Calibri"/>
                <w:szCs w:val="28"/>
                <w:lang w:val="en-US"/>
              </w:rPr>
              <w:t>уровень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правовой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экспертизы;</w:t>
            </w:r>
          </w:p>
          <w:p w:rsidR="00321179" w:rsidRDefault="00C647C0">
            <w:pPr>
              <w:numPr>
                <w:ilvl w:val="0"/>
                <w:numId w:val="1"/>
              </w:num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недостаточный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уровень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внутреннег</w:t>
            </w:r>
            <w:r>
              <w:rPr>
                <w:rFonts w:eastAsia="Calibri"/>
                <w:szCs w:val="28"/>
                <w:lang w:val="en-US"/>
              </w:rPr>
              <w:t>о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контроля</w:t>
            </w:r>
          </w:p>
        </w:tc>
        <w:tc>
          <w:tcPr>
            <w:tcW w:w="1853" w:type="dxa"/>
          </w:tcPr>
          <w:p w:rsidR="00321179" w:rsidRDefault="00C647C0">
            <w:pPr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незначительный</w:t>
            </w:r>
          </w:p>
        </w:tc>
      </w:tr>
    </w:tbl>
    <w:p w:rsidR="00321179" w:rsidRDefault="00321179">
      <w:pPr>
        <w:outlineLvl w:val="2"/>
        <w:rPr>
          <w:sz w:val="26"/>
          <w:szCs w:val="26"/>
        </w:rPr>
      </w:pPr>
    </w:p>
    <w:sectPr w:rsidR="00321179">
      <w:pgSz w:w="16838" w:h="11906" w:orient="landscape"/>
      <w:pgMar w:top="851" w:right="1134" w:bottom="1276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C0" w:rsidRDefault="00C647C0">
      <w:r>
        <w:separator/>
      </w:r>
    </w:p>
  </w:endnote>
  <w:endnote w:type="continuationSeparator" w:id="0">
    <w:p w:rsidR="00C647C0" w:rsidRDefault="00C6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C0" w:rsidRDefault="00C647C0">
      <w:r>
        <w:separator/>
      </w:r>
    </w:p>
  </w:footnote>
  <w:footnote w:type="continuationSeparator" w:id="0">
    <w:p w:rsidR="00C647C0" w:rsidRDefault="00C64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79" w:rsidRDefault="00C647C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1179" w:rsidRDefault="003211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AC4"/>
    <w:multiLevelType w:val="hybridMultilevel"/>
    <w:tmpl w:val="1332DAB6"/>
    <w:lvl w:ilvl="0" w:tplc="36D4AA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9C7A897C">
      <w:numFmt w:val="decimal"/>
      <w:lvlText w:val=""/>
      <w:lvlJc w:val="left"/>
    </w:lvl>
    <w:lvl w:ilvl="2" w:tplc="E1C867AE">
      <w:numFmt w:val="decimal"/>
      <w:lvlText w:val=""/>
      <w:lvlJc w:val="left"/>
    </w:lvl>
    <w:lvl w:ilvl="3" w:tplc="162259DE">
      <w:numFmt w:val="decimal"/>
      <w:lvlText w:val=""/>
      <w:lvlJc w:val="left"/>
    </w:lvl>
    <w:lvl w:ilvl="4" w:tplc="25F47266">
      <w:numFmt w:val="decimal"/>
      <w:lvlText w:val=""/>
      <w:lvlJc w:val="left"/>
    </w:lvl>
    <w:lvl w:ilvl="5" w:tplc="55669BFE">
      <w:numFmt w:val="decimal"/>
      <w:lvlText w:val=""/>
      <w:lvlJc w:val="left"/>
    </w:lvl>
    <w:lvl w:ilvl="6" w:tplc="E9E22792">
      <w:numFmt w:val="decimal"/>
      <w:lvlText w:val=""/>
      <w:lvlJc w:val="left"/>
    </w:lvl>
    <w:lvl w:ilvl="7" w:tplc="584A867A">
      <w:numFmt w:val="decimal"/>
      <w:lvlText w:val=""/>
      <w:lvlJc w:val="left"/>
    </w:lvl>
    <w:lvl w:ilvl="8" w:tplc="74C04D44">
      <w:numFmt w:val="decimal"/>
      <w:lvlText w:val=""/>
      <w:lvlJc w:val="left"/>
    </w:lvl>
  </w:abstractNum>
  <w:abstractNum w:abstractNumId="1" w15:restartNumberingAfterBreak="0">
    <w:nsid w:val="59357CFD"/>
    <w:multiLevelType w:val="hybridMultilevel"/>
    <w:tmpl w:val="AA006542"/>
    <w:lvl w:ilvl="0" w:tplc="E97CFB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AA7E1C98">
      <w:numFmt w:val="decimal"/>
      <w:lvlText w:val=""/>
      <w:lvlJc w:val="left"/>
    </w:lvl>
    <w:lvl w:ilvl="2" w:tplc="5B1EFCF6">
      <w:numFmt w:val="decimal"/>
      <w:lvlText w:val=""/>
      <w:lvlJc w:val="left"/>
    </w:lvl>
    <w:lvl w:ilvl="3" w:tplc="22D475CC">
      <w:numFmt w:val="decimal"/>
      <w:lvlText w:val=""/>
      <w:lvlJc w:val="left"/>
    </w:lvl>
    <w:lvl w:ilvl="4" w:tplc="789ED82A">
      <w:numFmt w:val="decimal"/>
      <w:lvlText w:val=""/>
      <w:lvlJc w:val="left"/>
    </w:lvl>
    <w:lvl w:ilvl="5" w:tplc="5E24EC8A">
      <w:numFmt w:val="decimal"/>
      <w:lvlText w:val=""/>
      <w:lvlJc w:val="left"/>
    </w:lvl>
    <w:lvl w:ilvl="6" w:tplc="FA3437DE">
      <w:numFmt w:val="decimal"/>
      <w:lvlText w:val=""/>
      <w:lvlJc w:val="left"/>
    </w:lvl>
    <w:lvl w:ilvl="7" w:tplc="94FAD92E">
      <w:numFmt w:val="decimal"/>
      <w:lvlText w:val=""/>
      <w:lvlJc w:val="left"/>
    </w:lvl>
    <w:lvl w:ilvl="8" w:tplc="6022927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79"/>
    <w:rsid w:val="00321179"/>
    <w:rsid w:val="00A01C93"/>
    <w:rsid w:val="00C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1024F-DCA6-445F-92D8-9DFE3CB8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9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d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e">
    <w:name w:val="Normal (Web)"/>
    <w:basedOn w:val="a"/>
    <w:rPr>
      <w:sz w:val="24"/>
      <w:szCs w:val="24"/>
    </w:rPr>
  </w:style>
  <w:style w:type="table" w:styleId="af">
    <w:name w:val="Table Grid"/>
    <w:basedOn w:val="a1"/>
    <w:tblPr/>
  </w:style>
  <w:style w:type="paragraph" w:styleId="af0">
    <w:name w:val="No Spacing"/>
    <w:qFormat/>
    <w:rPr>
      <w:sz w:val="24"/>
      <w:szCs w:val="24"/>
    </w:rPr>
  </w:style>
  <w:style w:type="paragraph" w:styleId="af1">
    <w:name w:val="Plain Text"/>
    <w:basedOn w:val="a"/>
    <w:rPr>
      <w:rFonts w:ascii="Courier New" w:hAnsi="Courier New"/>
      <w:sz w:val="20"/>
    </w:rPr>
  </w:style>
  <w:style w:type="character" w:customStyle="1" w:styleId="af2">
    <w:name w:val="Гипертекстовая ссылка"/>
    <w:rPr>
      <w:color w:val="106BBE"/>
    </w:rPr>
  </w:style>
  <w:style w:type="paragraph" w:styleId="af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table" w:customStyle="1" w:styleId="21">
    <w:name w:val="Сетка таблицы2"/>
    <w:basedOn w:val="a1"/>
    <w:next w:val="a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</Words>
  <Characters>3728</Characters>
  <Application>Microsoft Office Word</Application>
  <DocSecurity>0</DocSecurity>
  <Lines>31</Lines>
  <Paragraphs>8</Paragraphs>
  <ScaleCrop>false</ScaleCrop>
  <Company>CCRIB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О.В.</dc:creator>
  <cp:lastModifiedBy>*</cp:lastModifiedBy>
  <cp:revision>4</cp:revision>
  <dcterms:created xsi:type="dcterms:W3CDTF">2025-01-23T04:59:00Z</dcterms:created>
  <dcterms:modified xsi:type="dcterms:W3CDTF">2025-01-31T01:19:00Z</dcterms:modified>
  <cp:version>917504</cp:version>
</cp:coreProperties>
</file>