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EBC" w:rsidRPr="00F82B17" w:rsidRDefault="00DD6468" w:rsidP="00FA23CA">
      <w:pPr>
        <w:jc w:val="right"/>
      </w:pPr>
      <w:r>
        <w:t>Утверждена</w:t>
      </w:r>
    </w:p>
    <w:p w:rsidR="00FA23CA" w:rsidRPr="00F82B17" w:rsidRDefault="00FA23CA" w:rsidP="00FA23CA">
      <w:pPr>
        <w:jc w:val="right"/>
      </w:pPr>
      <w:r w:rsidRPr="00F82B17">
        <w:t xml:space="preserve"> </w:t>
      </w:r>
      <w:r w:rsidR="00F82B17">
        <w:t>П</w:t>
      </w:r>
      <w:r w:rsidRPr="00F82B17">
        <w:t>риказ</w:t>
      </w:r>
      <w:r w:rsidR="00DD6468">
        <w:t>ом</w:t>
      </w:r>
      <w:bookmarkStart w:id="0" w:name="_GoBack"/>
      <w:bookmarkEnd w:id="0"/>
      <w:r w:rsidR="00AE1EBC" w:rsidRPr="00F82B17">
        <w:t xml:space="preserve"> </w:t>
      </w:r>
      <w:r w:rsidRPr="00F82B17">
        <w:t>Департамента социальной политики</w:t>
      </w:r>
    </w:p>
    <w:p w:rsidR="00FA23CA" w:rsidRPr="00F82B17" w:rsidRDefault="00FA23CA" w:rsidP="00FA23CA">
      <w:pPr>
        <w:jc w:val="right"/>
      </w:pPr>
      <w:r w:rsidRPr="00F82B17">
        <w:t>Чукотского автономного округа</w:t>
      </w:r>
    </w:p>
    <w:p w:rsidR="00FA23CA" w:rsidRPr="00F82B17" w:rsidRDefault="007B0F1D" w:rsidP="00FA23CA">
      <w:pPr>
        <w:jc w:val="right"/>
      </w:pPr>
      <w:r>
        <w:t>от 16</w:t>
      </w:r>
      <w:r w:rsidR="00FA23CA" w:rsidRPr="00F82B17">
        <w:t xml:space="preserve"> </w:t>
      </w:r>
      <w:r>
        <w:t>декабря</w:t>
      </w:r>
      <w:r w:rsidR="00FA23CA" w:rsidRPr="00F82B17">
        <w:t xml:space="preserve"> 20</w:t>
      </w:r>
      <w:r>
        <w:t>21</w:t>
      </w:r>
      <w:r w:rsidR="00FA23CA" w:rsidRPr="00F82B17">
        <w:t xml:space="preserve">г. № </w:t>
      </w:r>
      <w:r>
        <w:t>1387</w:t>
      </w:r>
    </w:p>
    <w:p w:rsidR="00FA23CA" w:rsidRDefault="00FA23CA" w:rsidP="00FA23CA">
      <w:pPr>
        <w:spacing w:before="6" w:line="249" w:lineRule="auto"/>
        <w:ind w:left="293" w:right="185" w:firstLine="9"/>
        <w:jc w:val="right"/>
        <w:rPr>
          <w:rFonts w:eastAsia="Calibri"/>
          <w:sz w:val="26"/>
          <w:szCs w:val="26"/>
          <w:lang w:eastAsia="en-US"/>
        </w:rPr>
      </w:pPr>
    </w:p>
    <w:p w:rsidR="00F82B17" w:rsidRDefault="00F82B17" w:rsidP="00FA23CA">
      <w:pPr>
        <w:spacing w:before="6" w:line="249" w:lineRule="auto"/>
        <w:ind w:left="293" w:right="185" w:firstLine="9"/>
        <w:jc w:val="right"/>
        <w:rPr>
          <w:rFonts w:eastAsia="Calibri"/>
          <w:sz w:val="26"/>
          <w:szCs w:val="26"/>
          <w:lang w:eastAsia="en-US"/>
        </w:rPr>
      </w:pPr>
    </w:p>
    <w:p w:rsidR="00F82B17" w:rsidRPr="00F82B17" w:rsidRDefault="00F82B17" w:rsidP="00FA23CA">
      <w:pPr>
        <w:spacing w:before="6" w:line="249" w:lineRule="auto"/>
        <w:ind w:left="293" w:right="185" w:firstLine="9"/>
        <w:jc w:val="right"/>
        <w:rPr>
          <w:rFonts w:eastAsia="Calibri"/>
          <w:sz w:val="26"/>
          <w:szCs w:val="26"/>
          <w:lang w:eastAsia="en-US"/>
        </w:rPr>
      </w:pPr>
    </w:p>
    <w:p w:rsidR="00FA23CA" w:rsidRPr="00F82B17" w:rsidRDefault="00FA23CA" w:rsidP="00FA23CA">
      <w:pPr>
        <w:spacing w:before="6" w:line="249" w:lineRule="auto"/>
        <w:ind w:left="293" w:right="185" w:firstLine="9"/>
        <w:jc w:val="center"/>
        <w:rPr>
          <w:rFonts w:eastAsia="Calibri"/>
          <w:b/>
          <w:color w:val="1F1D26"/>
          <w:sz w:val="26"/>
          <w:szCs w:val="26"/>
          <w:lang w:eastAsia="en-US"/>
        </w:rPr>
      </w:pPr>
      <w:r w:rsidRPr="00F82B17">
        <w:rPr>
          <w:rFonts w:eastAsia="Calibri"/>
          <w:b/>
          <w:color w:val="1F1D26"/>
          <w:sz w:val="26"/>
          <w:szCs w:val="26"/>
          <w:lang w:eastAsia="en-US"/>
        </w:rPr>
        <w:t xml:space="preserve">Программа </w:t>
      </w:r>
    </w:p>
    <w:p w:rsidR="00FA23CA" w:rsidRPr="00F82B17" w:rsidRDefault="00FA23CA" w:rsidP="00FA23CA">
      <w:pPr>
        <w:spacing w:before="6" w:line="249" w:lineRule="auto"/>
        <w:ind w:left="293" w:right="185" w:firstLine="9"/>
        <w:jc w:val="center"/>
        <w:rPr>
          <w:rFonts w:eastAsia="Calibri"/>
          <w:b/>
          <w:sz w:val="26"/>
          <w:szCs w:val="26"/>
          <w:lang w:eastAsia="en-US"/>
        </w:rPr>
      </w:pPr>
      <w:r w:rsidRPr="00F82B17">
        <w:rPr>
          <w:rFonts w:eastAsia="Calibri"/>
          <w:b/>
          <w:color w:val="1F1D26"/>
          <w:sz w:val="26"/>
          <w:szCs w:val="26"/>
          <w:lang w:eastAsia="en-US"/>
        </w:rPr>
        <w:t>профилактики рисков причинения вреда (ущерба) охраняемым законом ценностям при осуществлении регионального государственного контроля (надзора) за при</w:t>
      </w:r>
      <w:r w:rsidR="00F82B17">
        <w:rPr>
          <w:rFonts w:eastAsia="Calibri"/>
          <w:b/>
          <w:color w:val="1F1D26"/>
          <w:sz w:val="26"/>
          <w:szCs w:val="26"/>
          <w:lang w:eastAsia="en-US"/>
        </w:rPr>
        <w:t>ё</w:t>
      </w:r>
      <w:r w:rsidRPr="00F82B17">
        <w:rPr>
          <w:rFonts w:eastAsia="Calibri"/>
          <w:b/>
          <w:color w:val="1F1D26"/>
          <w:sz w:val="26"/>
          <w:szCs w:val="26"/>
          <w:lang w:eastAsia="en-US"/>
        </w:rPr>
        <w:t xml:space="preserve">мом на работу инвалидов в пределах установленной квоты </w:t>
      </w:r>
    </w:p>
    <w:p w:rsidR="00FA23CA" w:rsidRPr="00F82B17" w:rsidRDefault="00FA23CA" w:rsidP="00FA23CA">
      <w:pPr>
        <w:jc w:val="center"/>
        <w:rPr>
          <w:rFonts w:eastAsia="Calibri"/>
          <w:sz w:val="26"/>
          <w:szCs w:val="26"/>
          <w:lang w:eastAsia="en-US"/>
        </w:rPr>
      </w:pPr>
    </w:p>
    <w:p w:rsidR="00FA23CA" w:rsidRPr="00F82B17" w:rsidRDefault="00FA23CA" w:rsidP="00FA23CA">
      <w:pPr>
        <w:jc w:val="center"/>
        <w:rPr>
          <w:rFonts w:eastAsia="Calibri"/>
          <w:sz w:val="26"/>
          <w:szCs w:val="26"/>
          <w:lang w:eastAsia="en-US"/>
        </w:rPr>
      </w:pPr>
      <w:r w:rsidRPr="00F82B17">
        <w:rPr>
          <w:rFonts w:eastAsia="Calibri"/>
          <w:sz w:val="26"/>
          <w:szCs w:val="26"/>
          <w:lang w:eastAsia="en-US"/>
        </w:rPr>
        <w:t>Раздел 1. Анализ текущего состояния осуществления регионального государственного контроля (надзора) за при</w:t>
      </w:r>
      <w:r w:rsidR="00F82B17">
        <w:rPr>
          <w:rFonts w:eastAsia="Calibri"/>
          <w:sz w:val="26"/>
          <w:szCs w:val="26"/>
          <w:lang w:eastAsia="en-US"/>
        </w:rPr>
        <w:t>ё</w:t>
      </w:r>
      <w:r w:rsidRPr="00F82B17">
        <w:rPr>
          <w:rFonts w:eastAsia="Calibri"/>
          <w:sz w:val="26"/>
          <w:szCs w:val="26"/>
          <w:lang w:eastAsia="en-US"/>
        </w:rPr>
        <w:t>мом на работу инвалидов в пределах установленной квоты</w:t>
      </w:r>
    </w:p>
    <w:p w:rsidR="00FA23CA" w:rsidRPr="00F82B17" w:rsidRDefault="00FA23CA" w:rsidP="00FA23CA">
      <w:pPr>
        <w:jc w:val="center"/>
        <w:rPr>
          <w:rFonts w:eastAsia="Calibri"/>
          <w:sz w:val="26"/>
          <w:szCs w:val="26"/>
          <w:lang w:eastAsia="en-US"/>
        </w:rPr>
      </w:pP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Квотирование рабочих мест для инвалидов – один из видов социальной поддержки государством незащищенных слоев населения. Установив обязанность по созданию (выделению) квотируемых рабочих мест в организациях независимо от организационно-правовой формы и формы собственности, государство обеспечило равный доступ к труду для инвалидов. Обязанность по квотированию рабочих мест для трудоустройства инвалидов установлена Законом Российской Федерации от 19 апреля 1991 года № 1032-1 «О занятости населения в Российской Федерации» (далее - Закон о занятости населения), согласно которому работодатели содействуют проведению государственной политики занятости населения на основе соблюдения установленной квоты для трудоустройства инвалидов, которая устанавливается в соответствии с Федеральным законом от 24 ноября 1995 года № 181-ФЗ «О социальной защите инвалидов в Российской Федерации». На территории Чукотского автономного округа квотирование рабочих мест регламентируется Законом Чукотского автономного округа от 27 декабря 2004 года № 68-ОЗ «О квотировании рабочих мест для инвалидов в Чукотском автономном округе»,</w:t>
      </w:r>
      <w:r w:rsidR="00572AAC" w:rsidRPr="00F82B17">
        <w:rPr>
          <w:rFonts w:eastAsia="Calibri"/>
          <w:sz w:val="26"/>
          <w:szCs w:val="26"/>
          <w:lang w:eastAsia="en-US"/>
        </w:rPr>
        <w:t xml:space="preserve"> </w:t>
      </w:r>
      <w:r w:rsidRPr="00F82B17">
        <w:rPr>
          <w:rFonts w:eastAsia="Calibri"/>
          <w:sz w:val="26"/>
          <w:szCs w:val="26"/>
          <w:lang w:eastAsia="en-US"/>
        </w:rPr>
        <w:t xml:space="preserve">согласно которому квота для инвалидов устанавливается работодателям, численность работников которых составляет </w:t>
      </w:r>
      <w:r w:rsidRPr="00F82B17">
        <w:rPr>
          <w:rFonts w:eastAsia="Calibri"/>
          <w:sz w:val="26"/>
          <w:szCs w:val="26"/>
          <w:lang w:eastAsia="en-US"/>
        </w:rPr>
        <w:lastRenderedPageBreak/>
        <w:t>более 100 человек, в размере 2 процентов среднесписочной численности работников, а численность работников которых составляет не менее чем 35 человек и не более чем 100 человек, в размере 2 процентов среднесписочной численности работников.</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В целях контроля за исполнением работодателями обязательных требований, а также в целях привлечения допустивших нарушения обязательных требований работодателей к ответственности, Законом о занятости населения органы государственной власти субъекта Российской Федерации в области содействия занятости наделены полномочиями по осуществлению регионального государственного контроля (надзора) за приемом на работу инвалидов в пределах установленной квоты.</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В соответствии с Постановлением Правительства Чукотского округа от 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w:t>
      </w:r>
      <w:r w:rsidR="00392CBD" w:rsidRPr="00F82B17">
        <w:rPr>
          <w:rFonts w:eastAsia="Calibri"/>
          <w:sz w:val="26"/>
          <w:szCs w:val="26"/>
          <w:lang w:eastAsia="en-US"/>
        </w:rPr>
        <w:t xml:space="preserve"> </w:t>
      </w:r>
      <w:r w:rsidRPr="00F82B17">
        <w:rPr>
          <w:rFonts w:eastAsia="Calibri"/>
          <w:sz w:val="26"/>
          <w:szCs w:val="26"/>
          <w:lang w:eastAsia="en-US"/>
        </w:rPr>
        <w:t>в Чукотском автономном округе таким органом является Департамент социальной политики Чукотского автономного округа (далее – Департамент).</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Департамент реализует указанное полномочие путем проведения плановых и внеплановых документарных проверок в отношении юридических лиц и индивидуальных предпринимателей Управлением занятости населения Департамента социальной политики Чукотского автономного округа (далее – Управление занятости населения).</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Требования к порядку осуществления государственного контроля (надзора) за приемом на работу инвалидов в пределах установленной квоты до 1 января 2022 года установлены Постановлением Правительства Чукотского автономного округа от 19 ноября 2018 года № 367 «Об организации и осуществлении регионального государственного надзора и контроля в области содействия занятости населения»;</w:t>
      </w:r>
      <w:r w:rsidR="00AE1EBC" w:rsidRPr="00F82B17">
        <w:rPr>
          <w:rFonts w:eastAsia="Calibri"/>
          <w:sz w:val="26"/>
          <w:szCs w:val="26"/>
          <w:lang w:eastAsia="en-US"/>
        </w:rPr>
        <w:t xml:space="preserve"> </w:t>
      </w:r>
      <w:r w:rsidRPr="00F82B17">
        <w:rPr>
          <w:rFonts w:eastAsia="Calibri"/>
          <w:sz w:val="26"/>
          <w:szCs w:val="26"/>
          <w:lang w:eastAsia="en-US"/>
        </w:rPr>
        <w:t>Приказом Департамента социальной политики Чукотского автономного округа от 8 июля 2016 года № 1330 «Об утверждении Административного регламента Департамента социальной политики Чукотского автономного округа по исполнению государственной функции «Надзор и контроль за приёмом на работу инвалидов в пределах установ</w:t>
      </w:r>
      <w:r w:rsidRPr="00F82B17">
        <w:rPr>
          <w:rFonts w:eastAsia="Calibri"/>
          <w:sz w:val="26"/>
          <w:szCs w:val="26"/>
          <w:lang w:eastAsia="en-US"/>
        </w:rPr>
        <w:lastRenderedPageBreak/>
        <w:t>ленной квоты с правом проведения проверок, выдачи обязательных для исполнения предписаний и составления протоколов».</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С 1 января 2022 года региональный государственный контроль (надзор) за при</w:t>
      </w:r>
      <w:r w:rsidR="00F82B17">
        <w:rPr>
          <w:rFonts w:eastAsia="Calibri"/>
          <w:sz w:val="26"/>
          <w:szCs w:val="26"/>
          <w:lang w:eastAsia="en-US"/>
        </w:rPr>
        <w:t>ё</w:t>
      </w:r>
      <w:r w:rsidRPr="00F82B17">
        <w:rPr>
          <w:rFonts w:eastAsia="Calibri"/>
          <w:sz w:val="26"/>
          <w:szCs w:val="26"/>
          <w:lang w:eastAsia="en-US"/>
        </w:rPr>
        <w:t>мом на работу инвалидов в пределах установленной квоты осуществляется в соответствии с Положением о региональном государственном контроле (надзоре) за приемом на работу инвалидов в пределах установленной квоты в Чукотском автономном округе, утвержденным Постановлением Правительства Чукотского автономного округа от 7 октября 2021 года № 338.</w:t>
      </w:r>
    </w:p>
    <w:p w:rsidR="00FA23CA" w:rsidRPr="00F82B17" w:rsidRDefault="00FA23CA" w:rsidP="00FA23CA">
      <w:pPr>
        <w:ind w:firstLine="709"/>
        <w:jc w:val="both"/>
        <w:rPr>
          <w:rFonts w:eastAsia="Calibri"/>
          <w:sz w:val="26"/>
          <w:szCs w:val="26"/>
          <w:highlight w:val="yellow"/>
          <w:lang w:eastAsia="en-US"/>
        </w:rPr>
      </w:pPr>
      <w:r w:rsidRPr="00F82B17">
        <w:rPr>
          <w:rFonts w:eastAsia="Calibri"/>
          <w:sz w:val="26"/>
          <w:szCs w:val="26"/>
          <w:lang w:eastAsia="en-US"/>
        </w:rPr>
        <w:t>Функции по обеспечению контрольных мероприятий возложены на трех государственных гражданских служащих Управления занятости населения Департамента социальной политики Чукотского автономного округа.</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Общее количество юридических лиц, индивидуальных предпринимателей, осуществляющих деятельность на территории Чукотского автономного округа, деятельность которых подлежит государственному контролю (надзору) со стороны Департамента социальной политики Чукотского автономного округа в 2020 году составило 1090 единиц. План проверок на 2020 год утвержден приказом Департамента от 31 октября 2019 года № 1326 «Об утверждении Плана проведения плановых проверок юридических лиц и индивидуальных предпринимателей на 2020 год», размещен на странице Департамента официального сайта Чукотского округа в информационно-телекоммуникационной сети «Интернет».</w:t>
      </w:r>
    </w:p>
    <w:p w:rsidR="00FA23CA" w:rsidRPr="00F82B17" w:rsidRDefault="00FA23CA" w:rsidP="00FA23CA">
      <w:pPr>
        <w:ind w:firstLine="709"/>
        <w:jc w:val="both"/>
        <w:rPr>
          <w:rFonts w:eastAsia="Calibri"/>
          <w:sz w:val="26"/>
          <w:szCs w:val="26"/>
          <w:highlight w:val="yellow"/>
          <w:lang w:eastAsia="en-US"/>
        </w:rPr>
      </w:pPr>
      <w:r w:rsidRPr="00F82B17">
        <w:rPr>
          <w:rFonts w:eastAsia="Calibri"/>
          <w:sz w:val="26"/>
          <w:szCs w:val="26"/>
          <w:lang w:eastAsia="en-US"/>
        </w:rPr>
        <w:t>В апреле 2020 года в соответствии с Постановлением Правительства 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проведены мероприятия по внесению изменений в план проверок на 2020 год в части исключения плановых проверок в отношении юридических лиц и индивидуальных предпринимателей.</w:t>
      </w:r>
      <w:r w:rsidR="00AE1EBC" w:rsidRPr="00F82B17">
        <w:rPr>
          <w:rFonts w:eastAsia="Calibri"/>
          <w:sz w:val="26"/>
          <w:szCs w:val="26"/>
          <w:lang w:eastAsia="en-US"/>
        </w:rPr>
        <w:t xml:space="preserve"> </w:t>
      </w:r>
      <w:r w:rsidRPr="00F82B17">
        <w:rPr>
          <w:rFonts w:eastAsia="Calibri"/>
          <w:sz w:val="26"/>
          <w:szCs w:val="26"/>
          <w:lang w:eastAsia="en-US"/>
        </w:rPr>
        <w:t xml:space="preserve">В 2020 году плановых проверок </w:t>
      </w:r>
      <w:r w:rsidRPr="00F82B17">
        <w:rPr>
          <w:rFonts w:eastAsia="Calibri"/>
          <w:sz w:val="26"/>
          <w:szCs w:val="26"/>
          <w:lang w:eastAsia="en-US"/>
        </w:rPr>
        <w:lastRenderedPageBreak/>
        <w:t>не проводилось. Внеплановые, а также выездные проверки в 2020 году не проводились.</w:t>
      </w:r>
    </w:p>
    <w:p w:rsidR="00FA23CA" w:rsidRPr="00F82B17" w:rsidRDefault="00FA23CA" w:rsidP="00FA23CA">
      <w:pPr>
        <w:ind w:firstLine="709"/>
        <w:jc w:val="both"/>
        <w:rPr>
          <w:rFonts w:eastAsia="Calibri"/>
          <w:sz w:val="26"/>
          <w:szCs w:val="26"/>
          <w:highlight w:val="yellow"/>
          <w:lang w:eastAsia="en-US"/>
        </w:rPr>
      </w:pPr>
      <w:r w:rsidRPr="00F82B17">
        <w:rPr>
          <w:rFonts w:eastAsia="Calibri"/>
          <w:sz w:val="26"/>
          <w:szCs w:val="26"/>
          <w:lang w:eastAsia="en-US"/>
        </w:rPr>
        <w:t>Общее количество юридических лиц, индивидуальных предпринимателей, осуществляющих деятельность на территории Чукотского автономного округа, деятельность которых подлежит государственному контролю (надзору) со стороны Департамента социальной политики Чукотского автономного округа в 2021 году составляет1113единиц. План проверок на 2021 год утвержден приказом Департамента от 27 октября 2020 года № 1129 «Об утверждении Плана проведения плановых проверок юридических лиц и индивидуальных предпринимателей на 2021 год», размещен на странице Департамента официального сайта Чукотского округа в информационно-телекоммуникационной сети «Интернет».</w:t>
      </w:r>
      <w:r w:rsidR="00AE1EBC" w:rsidRPr="00F82B17">
        <w:rPr>
          <w:rFonts w:eastAsia="Calibri"/>
          <w:sz w:val="26"/>
          <w:szCs w:val="26"/>
          <w:lang w:eastAsia="en-US"/>
        </w:rPr>
        <w:t xml:space="preserve"> </w:t>
      </w:r>
      <w:r w:rsidRPr="00F82B17">
        <w:rPr>
          <w:rFonts w:eastAsia="Calibri"/>
          <w:sz w:val="26"/>
          <w:szCs w:val="26"/>
          <w:lang w:eastAsia="en-US"/>
        </w:rPr>
        <w:t>В 2021 году проведены 3</w:t>
      </w:r>
      <w:r w:rsidR="00F82B17">
        <w:rPr>
          <w:rFonts w:eastAsia="Calibri"/>
          <w:sz w:val="26"/>
          <w:szCs w:val="26"/>
          <w:lang w:eastAsia="en-US"/>
        </w:rPr>
        <w:t> </w:t>
      </w:r>
      <w:r w:rsidRPr="00F82B17">
        <w:rPr>
          <w:rFonts w:eastAsia="Calibri"/>
          <w:sz w:val="26"/>
          <w:szCs w:val="26"/>
          <w:lang w:eastAsia="en-US"/>
        </w:rPr>
        <w:t>плановые документарные проверки в отношении 3 юридических лиц. По результатам проведения контрольных мероприятий, нарушения законодательства Российской Федерации не выявлены.</w:t>
      </w:r>
    </w:p>
    <w:p w:rsidR="00FA23CA" w:rsidRPr="00F82B17" w:rsidRDefault="00FA23CA" w:rsidP="00FA23CA">
      <w:pPr>
        <w:ind w:firstLine="709"/>
        <w:jc w:val="both"/>
        <w:rPr>
          <w:rFonts w:eastAsia="Calibri"/>
          <w:sz w:val="26"/>
          <w:szCs w:val="26"/>
          <w:highlight w:val="yellow"/>
          <w:lang w:eastAsia="en-US"/>
        </w:rPr>
      </w:pPr>
      <w:r w:rsidRPr="00F82B17">
        <w:rPr>
          <w:rFonts w:eastAsia="Calibri"/>
          <w:sz w:val="26"/>
          <w:szCs w:val="26"/>
          <w:lang w:eastAsia="en-US"/>
        </w:rPr>
        <w:t>Помимо указанных мероприятий, Управлением занятости населения в соответствии со статьей 8.3 Федерального закона от 26 декабря 2008 года№ 294-ФЗ «О</w:t>
      </w:r>
      <w:r w:rsidR="00F82B17">
        <w:rPr>
          <w:rFonts w:eastAsia="Calibri"/>
          <w:sz w:val="26"/>
          <w:szCs w:val="26"/>
          <w:lang w:eastAsia="en-US"/>
        </w:rPr>
        <w:t> </w:t>
      </w:r>
      <w:r w:rsidRPr="00F82B17">
        <w:rPr>
          <w:rFonts w:eastAsia="Calibri"/>
          <w:sz w:val="26"/>
          <w:szCs w:val="26"/>
          <w:lang w:eastAsia="en-US"/>
        </w:rPr>
        <w:t>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осуществлялись дополнительные мероприятия по контролю без взаимодействия с подконтрольными субъектами в форме наблюдения за соблюдением обязательных требований посредством анализа информации, поступившей из подведомственного учреждения Государственного казенного учреждения Чукотского автономного округа «Межрайонный центр занятости» об исполнении работодателями квоты для приема на работу инвалидов в рамках действующего законодательства.</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Субъектами профилактических мероприятий при осуществлении контроля и надзора по вопросу приема на работу инвалидов в пределах установленной квоты с правом проведения проверок и выдачи обязательных для исполнения предписаний являются работодатели Чукотского</w:t>
      </w:r>
      <w:r w:rsidR="00AE1EBC" w:rsidRPr="00F82B17">
        <w:rPr>
          <w:rFonts w:eastAsia="Calibri"/>
          <w:sz w:val="26"/>
          <w:szCs w:val="26"/>
          <w:lang w:eastAsia="en-US"/>
        </w:rPr>
        <w:t xml:space="preserve"> </w:t>
      </w:r>
      <w:r w:rsidRPr="00F82B17">
        <w:rPr>
          <w:rFonts w:eastAsia="Calibri"/>
          <w:sz w:val="26"/>
          <w:szCs w:val="26"/>
          <w:lang w:eastAsia="en-US"/>
        </w:rPr>
        <w:t>округа независимо от организационно-правовых форм и форм собственности, численность работников для определения квоты которых составляет не менее чем 35 человек.</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lastRenderedPageBreak/>
        <w:t>Осуществление мероприятий Программы профилактики позволит снизить число нарушений обязательных требований в части:</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1) создания рабочих мест для трудоустройства инвалидов;</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2) представления в службу занятости населения информации о квотировании рабочих мест.</w:t>
      </w:r>
    </w:p>
    <w:p w:rsidR="00FA23CA" w:rsidRPr="00F82B17" w:rsidRDefault="00FA23CA" w:rsidP="00FA23CA">
      <w:pPr>
        <w:ind w:firstLine="709"/>
        <w:jc w:val="center"/>
        <w:rPr>
          <w:rFonts w:eastAsia="Calibri"/>
          <w:sz w:val="26"/>
          <w:szCs w:val="26"/>
          <w:lang w:eastAsia="en-US"/>
        </w:rPr>
      </w:pPr>
    </w:p>
    <w:p w:rsidR="00FA23CA" w:rsidRPr="00F82B17" w:rsidRDefault="00FA23CA" w:rsidP="00FA23CA">
      <w:pPr>
        <w:ind w:firstLine="709"/>
        <w:jc w:val="center"/>
        <w:rPr>
          <w:rFonts w:eastAsia="Calibri"/>
          <w:sz w:val="26"/>
          <w:szCs w:val="26"/>
          <w:lang w:eastAsia="en-US"/>
        </w:rPr>
      </w:pPr>
      <w:r w:rsidRPr="00F82B17">
        <w:rPr>
          <w:rFonts w:eastAsia="Calibri"/>
          <w:sz w:val="26"/>
          <w:szCs w:val="26"/>
          <w:lang w:eastAsia="en-US"/>
        </w:rPr>
        <w:t>Раздел 2. Цели и задачи реализации Программы</w:t>
      </w:r>
    </w:p>
    <w:p w:rsidR="00FA23CA" w:rsidRPr="00F82B17" w:rsidRDefault="00FA23CA" w:rsidP="00FA23CA">
      <w:pPr>
        <w:ind w:firstLine="709"/>
        <w:jc w:val="center"/>
        <w:rPr>
          <w:rFonts w:eastAsia="Calibri"/>
          <w:sz w:val="26"/>
          <w:szCs w:val="26"/>
          <w:lang w:eastAsia="en-US"/>
        </w:rPr>
      </w:pP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 xml:space="preserve">Целями Программы профилактики рисков причинения вреда (ущерба) охраняемым законом ценностям при осуществлении регионального государственного контроля (надзора) за приемом на работу инвалидов в пределах установленной квоты являются: </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1) стимулирование добросовестного соблюдения обязательных требований всеми контролируемыми лицами;</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Задачами Программы профилактики рисков причинения вреда (ущерба) охраняемым законом ценностям при осуществлении регионального государственного контроля (надзора) за приемом на работу инвалидов в пределах установленной квоты являются:</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1) выявление причин, факторов и условий, приводящих к нарушению обязательных требований;</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 xml:space="preserve">2) устранение выявленных причин, факторов и условий; </w:t>
      </w:r>
    </w:p>
    <w:p w:rsidR="00FA23CA" w:rsidRPr="00F82B17" w:rsidRDefault="00FA23CA" w:rsidP="00FA23CA">
      <w:pPr>
        <w:ind w:firstLine="709"/>
        <w:jc w:val="both"/>
        <w:rPr>
          <w:rFonts w:eastAsia="Calibri"/>
          <w:sz w:val="26"/>
          <w:szCs w:val="26"/>
          <w:lang w:eastAsia="en-US"/>
        </w:rPr>
      </w:pPr>
      <w:r w:rsidRPr="00F82B17">
        <w:rPr>
          <w:rFonts w:eastAsia="Calibri"/>
          <w:sz w:val="26"/>
          <w:szCs w:val="26"/>
          <w:lang w:eastAsia="en-US"/>
        </w:rPr>
        <w:t>3)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FA23CA" w:rsidRPr="00F82B17" w:rsidRDefault="00FA23CA" w:rsidP="00FA23CA">
      <w:pPr>
        <w:ind w:firstLine="709"/>
        <w:jc w:val="both"/>
        <w:rPr>
          <w:rFonts w:eastAsia="Calibri"/>
          <w:sz w:val="26"/>
          <w:szCs w:val="26"/>
          <w:lang w:eastAsia="en-US"/>
        </w:rPr>
      </w:pPr>
    </w:p>
    <w:p w:rsidR="00FA23CA" w:rsidRPr="00F82B17" w:rsidRDefault="00FA23CA" w:rsidP="00FA23CA">
      <w:pPr>
        <w:rPr>
          <w:rFonts w:eastAsia="Calibri"/>
          <w:sz w:val="26"/>
          <w:szCs w:val="26"/>
          <w:lang w:eastAsia="en-US"/>
        </w:rPr>
      </w:pPr>
    </w:p>
    <w:p w:rsidR="00FA23CA" w:rsidRPr="00522512" w:rsidRDefault="00FA23CA" w:rsidP="00FA23CA">
      <w:pPr>
        <w:ind w:firstLine="709"/>
        <w:jc w:val="both"/>
        <w:rPr>
          <w:rFonts w:eastAsia="Calibri"/>
          <w:sz w:val="28"/>
          <w:szCs w:val="28"/>
          <w:lang w:eastAsia="en-US"/>
        </w:rPr>
      </w:pPr>
    </w:p>
    <w:p w:rsidR="00FA23CA" w:rsidRDefault="00FA23CA" w:rsidP="00FA23CA">
      <w:pPr>
        <w:spacing w:before="1" w:after="200" w:line="276" w:lineRule="auto"/>
        <w:ind w:left="1123" w:right="986"/>
        <w:jc w:val="center"/>
        <w:rPr>
          <w:rFonts w:eastAsia="Calibri"/>
          <w:color w:val="1F1D26"/>
          <w:w w:val="105"/>
          <w:sz w:val="28"/>
          <w:szCs w:val="28"/>
          <w:lang w:eastAsia="en-US"/>
        </w:rPr>
        <w:sectPr w:rsidR="00FA23CA" w:rsidSect="00C430B8">
          <w:pgSz w:w="11906" w:h="16838"/>
          <w:pgMar w:top="567" w:right="709" w:bottom="1134" w:left="1418" w:header="709" w:footer="709" w:gutter="0"/>
          <w:cols w:space="708"/>
          <w:formProt w:val="0"/>
          <w:titlePg/>
          <w:docGrid w:linePitch="360"/>
        </w:sectPr>
      </w:pPr>
    </w:p>
    <w:p w:rsidR="00FA23CA" w:rsidRPr="00F82B17" w:rsidRDefault="00FA23CA" w:rsidP="00FA23CA">
      <w:pPr>
        <w:spacing w:before="1" w:after="200" w:line="276" w:lineRule="auto"/>
        <w:ind w:left="1123" w:right="986"/>
        <w:jc w:val="center"/>
        <w:rPr>
          <w:rFonts w:eastAsia="Calibri"/>
          <w:color w:val="1F1D26"/>
          <w:w w:val="105"/>
          <w:sz w:val="26"/>
          <w:szCs w:val="26"/>
          <w:lang w:eastAsia="en-US"/>
        </w:rPr>
      </w:pPr>
      <w:r w:rsidRPr="00F82B17">
        <w:rPr>
          <w:rFonts w:eastAsia="Calibri"/>
          <w:color w:val="1F1D26"/>
          <w:w w:val="105"/>
          <w:sz w:val="26"/>
          <w:szCs w:val="26"/>
          <w:lang w:eastAsia="en-US"/>
        </w:rPr>
        <w:lastRenderedPageBreak/>
        <w:t>Раздел 3. Перечень профилактических мероприятий, сроки (периодичность) их проведения</w:t>
      </w:r>
    </w:p>
    <w:tbl>
      <w:tblPr>
        <w:tblStyle w:val="12"/>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6"/>
        <w:gridCol w:w="6917"/>
        <w:gridCol w:w="2268"/>
        <w:gridCol w:w="2410"/>
        <w:gridCol w:w="2693"/>
      </w:tblGrid>
      <w:tr w:rsidR="00FA23CA" w:rsidRPr="00B246B2" w:rsidTr="00F82B17">
        <w:tc>
          <w:tcPr>
            <w:tcW w:w="596" w:type="dxa"/>
          </w:tcPr>
          <w:p w:rsidR="00FA23CA" w:rsidRPr="00B246B2" w:rsidRDefault="00FA23CA" w:rsidP="00A2742F">
            <w:pPr>
              <w:spacing w:after="200" w:line="276" w:lineRule="auto"/>
              <w:jc w:val="center"/>
              <w:rPr>
                <w:rFonts w:ascii="Times New Roman" w:eastAsiaTheme="minorHAnsi" w:hAnsi="Times New Roman"/>
                <w:color w:val="1F1D26"/>
                <w:w w:val="105"/>
              </w:rPr>
            </w:pPr>
            <w:r w:rsidRPr="00B246B2">
              <w:rPr>
                <w:rFonts w:ascii="Times New Roman" w:eastAsiaTheme="minorHAnsi" w:hAnsi="Times New Roman"/>
                <w:color w:val="1F1D26"/>
                <w:w w:val="105"/>
              </w:rPr>
              <w:t>№</w:t>
            </w:r>
          </w:p>
        </w:tc>
        <w:tc>
          <w:tcPr>
            <w:tcW w:w="6917" w:type="dxa"/>
          </w:tcPr>
          <w:p w:rsidR="00FA23CA" w:rsidRPr="00B246B2" w:rsidRDefault="00FA23CA" w:rsidP="00A2742F">
            <w:pPr>
              <w:spacing w:after="200" w:line="276" w:lineRule="auto"/>
              <w:jc w:val="center"/>
              <w:rPr>
                <w:rFonts w:ascii="Times New Roman" w:eastAsiaTheme="minorHAnsi" w:hAnsi="Times New Roman"/>
                <w:color w:val="1F1D26"/>
                <w:w w:val="105"/>
              </w:rPr>
            </w:pPr>
            <w:r w:rsidRPr="00B246B2">
              <w:rPr>
                <w:rFonts w:ascii="Times New Roman" w:eastAsiaTheme="minorHAnsi" w:hAnsi="Times New Roman"/>
                <w:color w:val="1F1D26"/>
              </w:rPr>
              <w:t>Мероприятия</w:t>
            </w:r>
          </w:p>
        </w:tc>
        <w:tc>
          <w:tcPr>
            <w:tcW w:w="2268" w:type="dxa"/>
          </w:tcPr>
          <w:p w:rsidR="00FA23CA" w:rsidRPr="00B246B2" w:rsidRDefault="00FA23CA" w:rsidP="00A2742F">
            <w:pPr>
              <w:spacing w:after="200" w:line="276" w:lineRule="auto"/>
              <w:jc w:val="center"/>
              <w:rPr>
                <w:rFonts w:ascii="Times New Roman" w:eastAsiaTheme="minorHAnsi" w:hAnsi="Times New Roman"/>
                <w:color w:val="1F1D26"/>
                <w:w w:val="105"/>
              </w:rPr>
            </w:pPr>
            <w:r w:rsidRPr="00B246B2">
              <w:rPr>
                <w:rFonts w:ascii="Times New Roman" w:eastAsiaTheme="minorHAnsi" w:hAnsi="Times New Roman"/>
                <w:color w:val="1F1D26"/>
                <w:w w:val="105"/>
              </w:rPr>
              <w:t>Сроки</w:t>
            </w:r>
          </w:p>
        </w:tc>
        <w:tc>
          <w:tcPr>
            <w:tcW w:w="2410" w:type="dxa"/>
          </w:tcPr>
          <w:p w:rsidR="00FA23CA" w:rsidRPr="00B246B2" w:rsidRDefault="00FA23CA" w:rsidP="00A2742F">
            <w:pPr>
              <w:spacing w:after="200" w:line="276" w:lineRule="auto"/>
              <w:jc w:val="center"/>
              <w:rPr>
                <w:rFonts w:ascii="Times New Roman" w:eastAsiaTheme="minorHAnsi" w:hAnsi="Times New Roman"/>
                <w:color w:val="1F1D26"/>
                <w:w w:val="105"/>
              </w:rPr>
            </w:pPr>
            <w:r w:rsidRPr="00B246B2">
              <w:rPr>
                <w:rFonts w:ascii="Times New Roman" w:eastAsiaTheme="minorHAnsi" w:hAnsi="Times New Roman"/>
                <w:color w:val="1F1D26"/>
                <w:w w:val="105"/>
              </w:rPr>
              <w:t>Ожидаемый результат</w:t>
            </w:r>
          </w:p>
        </w:tc>
        <w:tc>
          <w:tcPr>
            <w:tcW w:w="2693" w:type="dxa"/>
          </w:tcPr>
          <w:p w:rsidR="00FA23CA" w:rsidRPr="00B246B2" w:rsidRDefault="00FA23CA" w:rsidP="00A2742F">
            <w:pPr>
              <w:spacing w:after="200" w:line="276" w:lineRule="auto"/>
              <w:jc w:val="center"/>
              <w:rPr>
                <w:rFonts w:ascii="Times New Roman" w:eastAsiaTheme="minorHAnsi" w:hAnsi="Times New Roman"/>
                <w:color w:val="1F1D26"/>
                <w:w w:val="105"/>
              </w:rPr>
            </w:pPr>
            <w:r w:rsidRPr="00B246B2">
              <w:rPr>
                <w:rFonts w:ascii="Times New Roman" w:eastAsiaTheme="minorHAnsi" w:hAnsi="Times New Roman"/>
                <w:color w:val="1F1D26"/>
                <w:w w:val="105"/>
              </w:rPr>
              <w:t>Исполнитель</w:t>
            </w:r>
          </w:p>
        </w:tc>
      </w:tr>
      <w:tr w:rsidR="00FA23CA" w:rsidRPr="00B246B2" w:rsidTr="00F82B17">
        <w:trPr>
          <w:trHeight w:val="399"/>
        </w:trPr>
        <w:tc>
          <w:tcPr>
            <w:tcW w:w="596" w:type="dxa"/>
          </w:tcPr>
          <w:p w:rsidR="00FA23CA" w:rsidRPr="00B246B2" w:rsidRDefault="00FA23CA" w:rsidP="00A2742F">
            <w:pPr>
              <w:spacing w:after="200" w:line="276" w:lineRule="auto"/>
              <w:jc w:val="center"/>
              <w:rPr>
                <w:rFonts w:ascii="Times New Roman" w:eastAsiaTheme="minorHAnsi" w:hAnsi="Times New Roman"/>
                <w:color w:val="1F1D26"/>
                <w:w w:val="105"/>
              </w:rPr>
            </w:pPr>
            <w:r w:rsidRPr="00B246B2">
              <w:rPr>
                <w:rFonts w:ascii="Times New Roman" w:eastAsiaTheme="minorHAnsi" w:hAnsi="Times New Roman"/>
                <w:color w:val="1F1D26"/>
                <w:w w:val="105"/>
              </w:rPr>
              <w:t>1.</w:t>
            </w:r>
          </w:p>
        </w:tc>
        <w:tc>
          <w:tcPr>
            <w:tcW w:w="14288" w:type="dxa"/>
            <w:gridSpan w:val="4"/>
          </w:tcPr>
          <w:p w:rsidR="00FA23CA" w:rsidRPr="00B246B2" w:rsidRDefault="00FA23CA" w:rsidP="00A2742F">
            <w:pPr>
              <w:spacing w:after="200" w:line="276" w:lineRule="auto"/>
              <w:jc w:val="center"/>
              <w:rPr>
                <w:rFonts w:ascii="Times New Roman" w:eastAsiaTheme="minorHAnsi" w:hAnsi="Times New Roman"/>
                <w:color w:val="1F1D26"/>
                <w:w w:val="105"/>
              </w:rPr>
            </w:pPr>
            <w:r w:rsidRPr="00B246B2">
              <w:rPr>
                <w:rFonts w:ascii="Times New Roman" w:eastAsiaTheme="minorHAnsi" w:hAnsi="Times New Roman"/>
                <w:color w:val="1F1D26"/>
                <w:w w:val="105"/>
              </w:rPr>
              <w:t>Информирование</w:t>
            </w:r>
          </w:p>
        </w:tc>
      </w:tr>
      <w:tr w:rsidR="00FA23CA" w:rsidRPr="00B246B2" w:rsidTr="00F82B17">
        <w:tc>
          <w:tcPr>
            <w:tcW w:w="596" w:type="dxa"/>
          </w:tcPr>
          <w:p w:rsidR="00FA23CA" w:rsidRPr="000600DE" w:rsidRDefault="00FA23CA" w:rsidP="00A2742F">
            <w:pPr>
              <w:spacing w:line="276" w:lineRule="auto"/>
              <w:jc w:val="center"/>
              <w:rPr>
                <w:rFonts w:ascii="Times New Roman" w:eastAsiaTheme="minorHAnsi" w:hAnsi="Times New Roman"/>
                <w:color w:val="1F1D26"/>
                <w:w w:val="105"/>
              </w:rPr>
            </w:pPr>
            <w:r w:rsidRPr="000600DE">
              <w:rPr>
                <w:rFonts w:ascii="Times New Roman" w:eastAsiaTheme="minorHAnsi" w:hAnsi="Times New Roman"/>
                <w:color w:val="1F1D26"/>
                <w:w w:val="105"/>
              </w:rPr>
              <w:t>1.1.</w:t>
            </w:r>
          </w:p>
        </w:tc>
        <w:tc>
          <w:tcPr>
            <w:tcW w:w="6917" w:type="dxa"/>
          </w:tcPr>
          <w:p w:rsidR="00FA23CA" w:rsidRPr="00B246B2" w:rsidRDefault="00FA23CA" w:rsidP="00A2742F">
            <w:pPr>
              <w:jc w:val="both"/>
              <w:rPr>
                <w:rFonts w:ascii="Times New Roman" w:eastAsiaTheme="minorHAnsi" w:hAnsi="Times New Roman"/>
                <w:color w:val="1F1D26"/>
              </w:rPr>
            </w:pPr>
            <w:r w:rsidRPr="00B246B2">
              <w:rPr>
                <w:rFonts w:ascii="Times New Roman" w:eastAsiaTheme="minorHAnsi" w:hAnsi="Times New Roman"/>
                <w:color w:val="1F1D26"/>
              </w:rPr>
              <w:t>Размещение и поддержание в</w:t>
            </w:r>
            <w:r w:rsidR="00572AAC">
              <w:rPr>
                <w:rFonts w:ascii="Times New Roman" w:eastAsiaTheme="minorHAnsi" w:hAnsi="Times New Roman"/>
                <w:color w:val="1F1D26"/>
              </w:rPr>
              <w:t xml:space="preserve"> </w:t>
            </w:r>
            <w:r w:rsidRPr="00B246B2">
              <w:rPr>
                <w:rFonts w:ascii="Times New Roman" w:eastAsiaTheme="minorHAnsi" w:hAnsi="Times New Roman"/>
                <w:color w:val="1F1D26"/>
              </w:rPr>
              <w:t>актуальной редакции на странице Департамента</w:t>
            </w:r>
            <w:r w:rsidR="00572AAC">
              <w:rPr>
                <w:rFonts w:ascii="Times New Roman" w:eastAsiaTheme="minorHAnsi" w:hAnsi="Times New Roman"/>
                <w:color w:val="1F1D26"/>
              </w:rPr>
              <w:t xml:space="preserve"> </w:t>
            </w:r>
            <w:r w:rsidRPr="00B246B2">
              <w:rPr>
                <w:rFonts w:ascii="Times New Roman" w:eastAsiaTheme="minorHAnsi" w:hAnsi="Times New Roman"/>
                <w:color w:val="1F1D26"/>
              </w:rPr>
              <w:t>на официальном сайте Чукотского автономного округа в информационно-телекоммуникационной сети «Интернет»:</w:t>
            </w:r>
          </w:p>
          <w:p w:rsidR="00FA23CA" w:rsidRPr="00B246B2" w:rsidRDefault="00FA23CA" w:rsidP="00A2742F">
            <w:pPr>
              <w:jc w:val="both"/>
              <w:rPr>
                <w:rFonts w:ascii="Times New Roman" w:eastAsiaTheme="minorHAnsi" w:hAnsi="Times New Roman"/>
                <w:color w:val="1F1D26"/>
              </w:rPr>
            </w:pPr>
            <w:r w:rsidRPr="00B246B2">
              <w:rPr>
                <w:rFonts w:ascii="Times New Roman" w:eastAsiaTheme="minorHAnsi" w:hAnsi="Times New Roman"/>
                <w:color w:val="1F1D26"/>
              </w:rPr>
              <w:t xml:space="preserve">- текстов нормативных правовых актов, регулирующих осуществление регионального контроля; </w:t>
            </w:r>
          </w:p>
          <w:p w:rsidR="00FA23CA" w:rsidRPr="00B246B2" w:rsidRDefault="00FA23CA" w:rsidP="00A2742F">
            <w:pPr>
              <w:jc w:val="both"/>
              <w:rPr>
                <w:rFonts w:ascii="Times New Roman" w:eastAsiaTheme="minorHAnsi" w:hAnsi="Times New Roman"/>
                <w:color w:val="1F1D26"/>
              </w:rPr>
            </w:pPr>
            <w:r w:rsidRPr="00B246B2">
              <w:rPr>
                <w:rFonts w:ascii="Times New Roman" w:eastAsiaTheme="minorHAnsi" w:hAnsi="Times New Roman"/>
                <w:color w:val="1F1D26"/>
              </w:rPr>
              <w:t xml:space="preserve">- сведений об изменениях, внесенных в нормативные правовые акты, регулирующие осуществление регионального контроля, о сроках и порядке их вступления в силу; </w:t>
            </w:r>
          </w:p>
          <w:p w:rsidR="00FA23CA" w:rsidRPr="00B246B2" w:rsidRDefault="00FA23CA" w:rsidP="00A2742F">
            <w:pPr>
              <w:jc w:val="both"/>
              <w:rPr>
                <w:rFonts w:ascii="Times New Roman" w:eastAsiaTheme="minorHAnsi" w:hAnsi="Times New Roman"/>
                <w:color w:val="1F1D26"/>
              </w:rPr>
            </w:pPr>
            <w:r w:rsidRPr="00B246B2">
              <w:rPr>
                <w:rFonts w:ascii="Times New Roman" w:eastAsiaTheme="minorHAnsi" w:hAnsi="Times New Roman"/>
                <w:color w:val="1F1D26"/>
              </w:rPr>
              <w:t xml:space="preserve">-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FA23CA" w:rsidRPr="00B246B2" w:rsidRDefault="00FA23CA" w:rsidP="00A2742F">
            <w:pPr>
              <w:jc w:val="both"/>
              <w:rPr>
                <w:rFonts w:ascii="Times New Roman" w:eastAsiaTheme="minorHAnsi" w:hAnsi="Times New Roman"/>
                <w:color w:val="1F1D26"/>
              </w:rPr>
            </w:pPr>
            <w:r w:rsidRPr="00B246B2">
              <w:rPr>
                <w:rFonts w:ascii="Times New Roman" w:eastAsiaTheme="minorHAnsi" w:hAnsi="Times New Roman"/>
                <w:color w:val="1F1D26"/>
              </w:rPr>
              <w:t xml:space="preserve">- руководств по соблюдению обязательных требований, разработанных и утвержденных в соответствии с Федеральным законом от 31 июля 2020 года № 247-ФЗ «Об обязательных требованиях в Российской Федерации»; </w:t>
            </w:r>
          </w:p>
          <w:p w:rsidR="00FA23CA" w:rsidRPr="00B246B2" w:rsidRDefault="00FA23CA" w:rsidP="00A2742F">
            <w:pPr>
              <w:jc w:val="both"/>
              <w:rPr>
                <w:rFonts w:ascii="Times New Roman" w:eastAsiaTheme="minorHAnsi" w:hAnsi="Times New Roman"/>
                <w:color w:val="1F1D26"/>
              </w:rPr>
            </w:pPr>
            <w:r w:rsidRPr="00B246B2">
              <w:rPr>
                <w:rFonts w:ascii="Times New Roman" w:eastAsiaTheme="minorHAnsi" w:hAnsi="Times New Roman"/>
                <w:color w:val="1F1D26"/>
              </w:rPr>
              <w:t xml:space="preserve">- перечня индикаторов риска нарушения обязательных требований, порядок отнесения объектов контроля к категориям риска; перечня объектов контроля, учитываемых в рамках формирования ежегодного плана контрольных (надзорных) мероприятий, с указанием категории риска; </w:t>
            </w:r>
          </w:p>
          <w:p w:rsidR="00FA23CA" w:rsidRPr="00B246B2" w:rsidRDefault="00FA23CA" w:rsidP="00A2742F">
            <w:pPr>
              <w:jc w:val="both"/>
              <w:rPr>
                <w:rFonts w:ascii="Times New Roman" w:eastAsiaTheme="minorHAnsi" w:hAnsi="Times New Roman"/>
                <w:color w:val="1F1D26"/>
              </w:rPr>
            </w:pPr>
            <w:r w:rsidRPr="00B246B2">
              <w:rPr>
                <w:rFonts w:ascii="Times New Roman" w:eastAsiaTheme="minorHAnsi" w:hAnsi="Times New Roman"/>
                <w:color w:val="1F1D26"/>
              </w:rPr>
              <w:t>- программы профилактики рисков причинения вреда и плана проведения плановых контрольных (надзорных) мероприятий Департаментом (при проведении таких мероприятий);</w:t>
            </w:r>
          </w:p>
          <w:p w:rsidR="00FA23CA" w:rsidRPr="00B246B2" w:rsidRDefault="00FA23CA" w:rsidP="00A2742F">
            <w:pPr>
              <w:jc w:val="both"/>
              <w:rPr>
                <w:rFonts w:ascii="Times New Roman" w:eastAsiaTheme="minorHAnsi" w:hAnsi="Times New Roman"/>
                <w:color w:val="1F1D26"/>
              </w:rPr>
            </w:pPr>
            <w:r w:rsidRPr="00B246B2">
              <w:rPr>
                <w:rFonts w:ascii="Times New Roman" w:eastAsiaTheme="minorHAnsi" w:hAnsi="Times New Roman"/>
                <w:color w:val="1F1D26"/>
              </w:rPr>
              <w:t>- исчерпывающего перечня сведений, которые могут запрашиваться Департаментом у контролируемого лица;</w:t>
            </w:r>
          </w:p>
          <w:p w:rsidR="00FA23CA" w:rsidRPr="00B246B2" w:rsidRDefault="00FA23CA" w:rsidP="00A2742F">
            <w:pPr>
              <w:jc w:val="both"/>
              <w:rPr>
                <w:rFonts w:ascii="Times New Roman" w:eastAsiaTheme="minorHAnsi" w:hAnsi="Times New Roman"/>
                <w:color w:val="1F1D26"/>
              </w:rPr>
            </w:pPr>
            <w:r w:rsidRPr="00B246B2">
              <w:rPr>
                <w:rFonts w:ascii="Times New Roman" w:eastAsiaTheme="minorHAnsi" w:hAnsi="Times New Roman"/>
                <w:color w:val="1F1D26"/>
              </w:rPr>
              <w:t>- сведений о способах получения консультаций по вопросам соблюдения обязательных требований;</w:t>
            </w:r>
          </w:p>
          <w:p w:rsidR="00FA23CA" w:rsidRPr="00B246B2" w:rsidRDefault="00FA23CA" w:rsidP="00A2742F">
            <w:pPr>
              <w:jc w:val="both"/>
              <w:rPr>
                <w:rFonts w:ascii="Times New Roman" w:eastAsiaTheme="minorHAnsi" w:hAnsi="Times New Roman"/>
                <w:color w:val="1F1D26"/>
              </w:rPr>
            </w:pPr>
            <w:r w:rsidRPr="00B246B2">
              <w:rPr>
                <w:rFonts w:ascii="Times New Roman" w:eastAsiaTheme="minorHAnsi" w:hAnsi="Times New Roman"/>
                <w:color w:val="1F1D26"/>
              </w:rPr>
              <w:t>-сведений о порядке досудебного обжалования решений Департамента, действий (бездействия) его должностных лиц;</w:t>
            </w:r>
          </w:p>
          <w:p w:rsidR="00FA23CA" w:rsidRPr="00B246B2" w:rsidRDefault="00FA23CA" w:rsidP="00A2742F">
            <w:pPr>
              <w:jc w:val="both"/>
              <w:rPr>
                <w:rFonts w:ascii="Times New Roman" w:eastAsiaTheme="minorHAnsi" w:hAnsi="Times New Roman"/>
                <w:color w:val="1F1D26"/>
              </w:rPr>
            </w:pPr>
            <w:r w:rsidRPr="00B246B2">
              <w:rPr>
                <w:rFonts w:ascii="Times New Roman" w:eastAsiaTheme="minorHAnsi" w:hAnsi="Times New Roman"/>
                <w:color w:val="1F1D26"/>
              </w:rPr>
              <w:t>- докладов, содержащих результаты обобщения правоприменительной практики Департамента;</w:t>
            </w:r>
          </w:p>
          <w:p w:rsidR="00FA23CA" w:rsidRPr="00B246B2" w:rsidRDefault="00FA23CA" w:rsidP="00A2742F">
            <w:pPr>
              <w:jc w:val="both"/>
              <w:rPr>
                <w:rFonts w:ascii="Times New Roman" w:eastAsiaTheme="minorHAnsi" w:hAnsi="Times New Roman"/>
                <w:color w:val="1F1D26"/>
              </w:rPr>
            </w:pPr>
            <w:r w:rsidRPr="00B246B2">
              <w:rPr>
                <w:rFonts w:ascii="Times New Roman" w:eastAsiaTheme="minorHAnsi" w:hAnsi="Times New Roman"/>
                <w:color w:val="1F1D26"/>
              </w:rPr>
              <w:t>- докладов о региональном контроле;</w:t>
            </w:r>
          </w:p>
          <w:p w:rsidR="00FA23CA" w:rsidRPr="00B246B2" w:rsidRDefault="00FA23CA" w:rsidP="00A2742F">
            <w:pPr>
              <w:jc w:val="both"/>
              <w:rPr>
                <w:rFonts w:ascii="Times New Roman" w:eastAsiaTheme="minorHAnsi" w:hAnsi="Times New Roman"/>
                <w:color w:val="1F1D26"/>
              </w:rPr>
            </w:pPr>
            <w:r w:rsidRPr="00B246B2">
              <w:rPr>
                <w:rFonts w:ascii="Times New Roman" w:eastAsiaTheme="minorHAnsi" w:hAnsi="Times New Roman"/>
                <w:color w:val="1F1D26"/>
              </w:rPr>
              <w:t>-иных сведений, предусмотренных нормативными правовыми актами Российской Федерации, нормативными правовыми актами</w:t>
            </w:r>
            <w:r w:rsidR="00572AAC">
              <w:rPr>
                <w:rFonts w:ascii="Times New Roman" w:eastAsiaTheme="minorHAnsi" w:hAnsi="Times New Roman"/>
                <w:color w:val="1F1D26"/>
              </w:rPr>
              <w:t xml:space="preserve"> </w:t>
            </w:r>
            <w:r w:rsidRPr="00B246B2">
              <w:rPr>
                <w:rFonts w:ascii="Times New Roman" w:eastAsiaTheme="minorHAnsi" w:hAnsi="Times New Roman"/>
                <w:color w:val="1F1D26"/>
              </w:rPr>
              <w:t>Чукотского</w:t>
            </w:r>
            <w:r w:rsidR="00572AAC">
              <w:rPr>
                <w:rFonts w:ascii="Times New Roman" w:eastAsiaTheme="minorHAnsi" w:hAnsi="Times New Roman"/>
                <w:color w:val="1F1D26"/>
              </w:rPr>
              <w:t xml:space="preserve"> </w:t>
            </w:r>
            <w:r w:rsidRPr="00B246B2">
              <w:rPr>
                <w:rFonts w:ascii="Times New Roman" w:eastAsiaTheme="minorHAnsi" w:hAnsi="Times New Roman"/>
                <w:color w:val="1F1D26"/>
              </w:rPr>
              <w:t>автономного округа и (или) программой профилактики рисков причинения вреда (ущерба) охраняемым законом ценностям.</w:t>
            </w:r>
          </w:p>
        </w:tc>
        <w:tc>
          <w:tcPr>
            <w:tcW w:w="2268"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Не позднее 5</w:t>
            </w:r>
          </w:p>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рабочих дней с даты вступления в</w:t>
            </w:r>
          </w:p>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силу нормативного</w:t>
            </w:r>
          </w:p>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правового</w:t>
            </w:r>
          </w:p>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акта</w:t>
            </w:r>
          </w:p>
        </w:tc>
        <w:tc>
          <w:tcPr>
            <w:tcW w:w="2410"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Повышение</w:t>
            </w:r>
          </w:p>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правовой</w:t>
            </w:r>
          </w:p>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грамотности подконтрольных субъектов</w:t>
            </w:r>
          </w:p>
        </w:tc>
        <w:tc>
          <w:tcPr>
            <w:tcW w:w="2693"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Управление занятости населения Департамента социальной политики Чукотского автономного округа (далее – УЗН)</w:t>
            </w:r>
          </w:p>
        </w:tc>
      </w:tr>
      <w:tr w:rsidR="00FA23CA" w:rsidRPr="00B246B2" w:rsidTr="00F82B17">
        <w:tc>
          <w:tcPr>
            <w:tcW w:w="596" w:type="dxa"/>
          </w:tcPr>
          <w:p w:rsidR="00FA23CA" w:rsidRPr="000600DE" w:rsidRDefault="00FA23CA" w:rsidP="00A2742F">
            <w:pPr>
              <w:spacing w:line="276" w:lineRule="auto"/>
              <w:jc w:val="center"/>
              <w:rPr>
                <w:rFonts w:ascii="Times New Roman" w:eastAsiaTheme="minorHAnsi" w:hAnsi="Times New Roman"/>
                <w:color w:val="1F1D26"/>
                <w:w w:val="105"/>
              </w:rPr>
            </w:pPr>
            <w:r w:rsidRPr="000600DE">
              <w:rPr>
                <w:rFonts w:ascii="Times New Roman" w:eastAsiaTheme="minorHAnsi" w:hAnsi="Times New Roman"/>
                <w:color w:val="1F1D26"/>
                <w:w w:val="105"/>
              </w:rPr>
              <w:t>1.2.</w:t>
            </w:r>
          </w:p>
        </w:tc>
        <w:tc>
          <w:tcPr>
            <w:tcW w:w="6917" w:type="dxa"/>
          </w:tcPr>
          <w:p w:rsidR="00FA23CA" w:rsidRPr="00B246B2" w:rsidRDefault="00FA23CA" w:rsidP="00A2742F">
            <w:pPr>
              <w:ind w:firstLine="11"/>
              <w:jc w:val="both"/>
              <w:rPr>
                <w:rFonts w:ascii="Times New Roman" w:eastAsiaTheme="minorHAnsi" w:hAnsi="Times New Roman"/>
                <w:color w:val="1F1D26"/>
              </w:rPr>
            </w:pPr>
            <w:r w:rsidRPr="00B246B2">
              <w:rPr>
                <w:rFonts w:ascii="Times New Roman" w:eastAsiaTheme="minorHAnsi" w:hAnsi="Times New Roman"/>
                <w:color w:val="1F1D26"/>
              </w:rPr>
              <w:t>Доведение информации до юридических лиц, индивидуальных предпринимателей по вопросам соблюдения обязательных требований в области занятости населения, в том числе при предоставлении государственной услуги содействия</w:t>
            </w:r>
            <w:r w:rsidR="00F82B17">
              <w:rPr>
                <w:rFonts w:ascii="Times New Roman" w:eastAsiaTheme="minorHAnsi" w:hAnsi="Times New Roman"/>
                <w:color w:val="1F1D26"/>
              </w:rPr>
              <w:t xml:space="preserve"> </w:t>
            </w:r>
            <w:r w:rsidRPr="00B246B2">
              <w:rPr>
                <w:rFonts w:ascii="Times New Roman" w:eastAsiaTheme="minorHAnsi" w:hAnsi="Times New Roman"/>
                <w:color w:val="1F1D26"/>
              </w:rPr>
              <w:t>гражданам в поиске подходящей работы, а работодателям в подборе необходимых работников и при проведении рабочих встреч, семинаров (совещаний) с работодателями</w:t>
            </w:r>
          </w:p>
        </w:tc>
        <w:tc>
          <w:tcPr>
            <w:tcW w:w="2268"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Постоянно</w:t>
            </w:r>
          </w:p>
        </w:tc>
        <w:tc>
          <w:tcPr>
            <w:tcW w:w="2410"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Повышение</w:t>
            </w:r>
          </w:p>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правовой</w:t>
            </w:r>
          </w:p>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грамотности подконтрольных субъектов</w:t>
            </w:r>
          </w:p>
        </w:tc>
        <w:tc>
          <w:tcPr>
            <w:tcW w:w="2693"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Государственное казенное учреждение Чукотского автономного округа «Межрайонный центр занятости населения» (далее – МЦЗН)</w:t>
            </w:r>
          </w:p>
        </w:tc>
      </w:tr>
      <w:tr w:rsidR="00FA23CA" w:rsidRPr="00B246B2" w:rsidTr="00F82B17">
        <w:tc>
          <w:tcPr>
            <w:tcW w:w="596" w:type="dxa"/>
          </w:tcPr>
          <w:p w:rsidR="00FA23CA" w:rsidRPr="00B246B2" w:rsidRDefault="00FA23CA" w:rsidP="00A2742F">
            <w:pPr>
              <w:spacing w:line="276" w:lineRule="auto"/>
              <w:jc w:val="center"/>
              <w:rPr>
                <w:rFonts w:ascii="Times New Roman" w:eastAsiaTheme="minorHAnsi" w:hAnsi="Times New Roman"/>
                <w:color w:val="1F1D26"/>
                <w:w w:val="105"/>
              </w:rPr>
            </w:pPr>
            <w:r w:rsidRPr="00B246B2">
              <w:rPr>
                <w:rFonts w:ascii="Times New Roman" w:eastAsiaTheme="minorHAnsi" w:hAnsi="Times New Roman"/>
                <w:color w:val="1F1D26"/>
                <w:w w:val="105"/>
              </w:rPr>
              <w:t>2.</w:t>
            </w:r>
          </w:p>
        </w:tc>
        <w:tc>
          <w:tcPr>
            <w:tcW w:w="14288" w:type="dxa"/>
            <w:gridSpan w:val="4"/>
          </w:tcPr>
          <w:p w:rsidR="00FA23CA" w:rsidRPr="00B246B2" w:rsidRDefault="00FA23CA" w:rsidP="00A2742F">
            <w:pPr>
              <w:jc w:val="center"/>
              <w:rPr>
                <w:rFonts w:ascii="Times New Roman" w:eastAsiaTheme="minorHAnsi" w:hAnsi="Times New Roman"/>
                <w:color w:val="1F1D26"/>
                <w:w w:val="105"/>
              </w:rPr>
            </w:pPr>
            <w:r w:rsidRPr="00B246B2">
              <w:rPr>
                <w:rFonts w:ascii="Times New Roman" w:eastAsiaTheme="minorHAnsi" w:hAnsi="Times New Roman"/>
                <w:color w:val="1F1D26"/>
                <w:w w:val="105"/>
              </w:rPr>
              <w:t>Обобщение правоприменительной практики</w:t>
            </w:r>
          </w:p>
        </w:tc>
      </w:tr>
      <w:tr w:rsidR="00FA23CA" w:rsidRPr="00B246B2" w:rsidTr="00F82B17">
        <w:trPr>
          <w:trHeight w:val="540"/>
        </w:trPr>
        <w:tc>
          <w:tcPr>
            <w:tcW w:w="596" w:type="dxa"/>
          </w:tcPr>
          <w:p w:rsidR="00FA23CA" w:rsidRPr="00B246B2" w:rsidRDefault="00FA23CA" w:rsidP="00A2742F">
            <w:pPr>
              <w:spacing w:line="276" w:lineRule="auto"/>
              <w:jc w:val="center"/>
              <w:rPr>
                <w:rFonts w:ascii="Times New Roman" w:eastAsiaTheme="minorHAnsi" w:hAnsi="Times New Roman"/>
                <w:color w:val="1F1D26"/>
                <w:w w:val="105"/>
              </w:rPr>
            </w:pPr>
            <w:r>
              <w:rPr>
                <w:rFonts w:ascii="Times New Roman" w:eastAsiaTheme="minorHAnsi" w:hAnsi="Times New Roman"/>
                <w:color w:val="1F1D26"/>
                <w:w w:val="105"/>
              </w:rPr>
              <w:t>2.1.</w:t>
            </w:r>
          </w:p>
        </w:tc>
        <w:tc>
          <w:tcPr>
            <w:tcW w:w="6917" w:type="dxa"/>
          </w:tcPr>
          <w:p w:rsidR="00FA23CA" w:rsidRPr="00B246B2" w:rsidRDefault="00FA23CA" w:rsidP="00A2742F">
            <w:pPr>
              <w:ind w:firstLine="11"/>
              <w:jc w:val="both"/>
              <w:rPr>
                <w:rFonts w:ascii="Times New Roman" w:eastAsiaTheme="minorHAnsi" w:hAnsi="Times New Roman"/>
                <w:color w:val="1F1D26"/>
              </w:rPr>
            </w:pPr>
            <w:r w:rsidRPr="00B246B2">
              <w:rPr>
                <w:rFonts w:ascii="Times New Roman" w:eastAsiaTheme="minorHAnsi" w:hAnsi="Times New Roman"/>
                <w:color w:val="1F1D26"/>
              </w:rPr>
              <w:t xml:space="preserve">Обобщение правоприменительной практики регионального контроля </w:t>
            </w:r>
          </w:p>
          <w:p w:rsidR="00FA23CA" w:rsidRPr="00B246B2" w:rsidRDefault="00FA23CA" w:rsidP="00A2742F">
            <w:pPr>
              <w:ind w:firstLine="11"/>
              <w:jc w:val="both"/>
              <w:rPr>
                <w:rFonts w:ascii="Times New Roman" w:eastAsiaTheme="minorHAnsi" w:hAnsi="Times New Roman"/>
                <w:color w:val="1F1D26"/>
              </w:rPr>
            </w:pPr>
          </w:p>
        </w:tc>
        <w:tc>
          <w:tcPr>
            <w:tcW w:w="2268"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До 1 марта года, следующего за отчетным годом</w:t>
            </w:r>
          </w:p>
        </w:tc>
        <w:tc>
          <w:tcPr>
            <w:tcW w:w="2410"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Повышение открытости деятельности органов занятости населения</w:t>
            </w:r>
          </w:p>
        </w:tc>
        <w:tc>
          <w:tcPr>
            <w:tcW w:w="2693"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УЗН</w:t>
            </w:r>
          </w:p>
        </w:tc>
      </w:tr>
      <w:tr w:rsidR="00FA23CA" w:rsidRPr="00B246B2" w:rsidTr="00F82B17">
        <w:trPr>
          <w:trHeight w:val="2235"/>
        </w:trPr>
        <w:tc>
          <w:tcPr>
            <w:tcW w:w="596" w:type="dxa"/>
          </w:tcPr>
          <w:p w:rsidR="00FA23CA" w:rsidRPr="00B246B2" w:rsidRDefault="00FA23CA" w:rsidP="00A2742F">
            <w:pPr>
              <w:spacing w:line="276" w:lineRule="auto"/>
              <w:jc w:val="center"/>
              <w:rPr>
                <w:rFonts w:ascii="Times New Roman" w:eastAsiaTheme="minorHAnsi" w:hAnsi="Times New Roman"/>
                <w:color w:val="1F1D26"/>
                <w:w w:val="105"/>
              </w:rPr>
            </w:pPr>
            <w:r>
              <w:rPr>
                <w:rFonts w:ascii="Times New Roman" w:eastAsiaTheme="minorHAnsi" w:hAnsi="Times New Roman"/>
                <w:color w:val="1F1D26"/>
                <w:w w:val="105"/>
              </w:rPr>
              <w:t>2.2.</w:t>
            </w:r>
          </w:p>
        </w:tc>
        <w:tc>
          <w:tcPr>
            <w:tcW w:w="6917" w:type="dxa"/>
          </w:tcPr>
          <w:p w:rsidR="00FA23CA" w:rsidRPr="00B246B2" w:rsidRDefault="00FA23CA" w:rsidP="00A2742F">
            <w:pPr>
              <w:ind w:firstLine="11"/>
              <w:jc w:val="both"/>
              <w:rPr>
                <w:rFonts w:ascii="Times New Roman" w:eastAsiaTheme="minorHAnsi" w:hAnsi="Times New Roman"/>
                <w:color w:val="1F1D26"/>
              </w:rPr>
            </w:pPr>
            <w:r w:rsidRPr="00B246B2">
              <w:rPr>
                <w:rFonts w:ascii="Times New Roman" w:eastAsiaTheme="minorHAnsi" w:hAnsi="Times New Roman"/>
                <w:color w:val="1F1D26"/>
              </w:rPr>
              <w:t xml:space="preserve"> Размещение на официальном сайте в информационно-телекоммуникационной сети «Интернет» ежегодного</w:t>
            </w:r>
            <w:r w:rsidR="00F82B17">
              <w:rPr>
                <w:rFonts w:ascii="Times New Roman" w:eastAsiaTheme="minorHAnsi" w:hAnsi="Times New Roman"/>
                <w:color w:val="1F1D26"/>
              </w:rPr>
              <w:t xml:space="preserve"> </w:t>
            </w:r>
            <w:r w:rsidRPr="00B246B2">
              <w:rPr>
                <w:rFonts w:ascii="Times New Roman" w:eastAsiaTheme="minorHAnsi" w:hAnsi="Times New Roman"/>
                <w:color w:val="1F1D26"/>
              </w:rPr>
              <w:t>доклада, содержащего результаты обобщения правоприменительной практики Департамента по региональному контролю</w:t>
            </w:r>
          </w:p>
        </w:tc>
        <w:tc>
          <w:tcPr>
            <w:tcW w:w="2268" w:type="dxa"/>
          </w:tcPr>
          <w:p w:rsidR="00FA23CA" w:rsidRPr="00B246B2" w:rsidRDefault="00FA23CA" w:rsidP="00A2742F">
            <w:pPr>
              <w:rPr>
                <w:rFonts w:ascii="Times New Roman" w:eastAsiaTheme="minorHAnsi" w:hAnsi="Times New Roman"/>
                <w:color w:val="1F1D26"/>
                <w:w w:val="105"/>
              </w:rPr>
            </w:pPr>
            <w:r>
              <w:rPr>
                <w:rFonts w:ascii="Times New Roman" w:eastAsiaTheme="minorHAnsi" w:hAnsi="Times New Roman"/>
                <w:color w:val="1F1D26"/>
                <w:w w:val="105"/>
              </w:rPr>
              <w:t xml:space="preserve">В течение </w:t>
            </w:r>
            <w:r w:rsidRPr="00B246B2">
              <w:rPr>
                <w:rFonts w:ascii="Times New Roman" w:eastAsiaTheme="minorHAnsi" w:hAnsi="Times New Roman"/>
                <w:color w:val="1F1D26"/>
                <w:w w:val="105"/>
              </w:rPr>
              <w:t>5 рабочих дней после утверждения доклада</w:t>
            </w:r>
          </w:p>
        </w:tc>
        <w:tc>
          <w:tcPr>
            <w:tcW w:w="2410"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Повышение открытости деятельности органов занятости населения</w:t>
            </w:r>
          </w:p>
        </w:tc>
        <w:tc>
          <w:tcPr>
            <w:tcW w:w="2693"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УЗН</w:t>
            </w:r>
          </w:p>
        </w:tc>
      </w:tr>
      <w:tr w:rsidR="00FA23CA" w:rsidRPr="00B246B2" w:rsidTr="00F82B17">
        <w:trPr>
          <w:trHeight w:val="2235"/>
        </w:trPr>
        <w:tc>
          <w:tcPr>
            <w:tcW w:w="596" w:type="dxa"/>
          </w:tcPr>
          <w:p w:rsidR="00FA23CA" w:rsidRPr="00B246B2" w:rsidRDefault="00FA23CA" w:rsidP="00A2742F">
            <w:pPr>
              <w:spacing w:line="276" w:lineRule="auto"/>
              <w:jc w:val="center"/>
              <w:rPr>
                <w:rFonts w:ascii="Times New Roman" w:eastAsiaTheme="minorHAnsi" w:hAnsi="Times New Roman"/>
                <w:color w:val="1F1D26"/>
                <w:w w:val="105"/>
              </w:rPr>
            </w:pPr>
            <w:r>
              <w:rPr>
                <w:rFonts w:ascii="Times New Roman" w:eastAsiaTheme="minorHAnsi" w:hAnsi="Times New Roman"/>
                <w:color w:val="1F1D26"/>
                <w:w w:val="105"/>
              </w:rPr>
              <w:t>2.3.</w:t>
            </w:r>
          </w:p>
        </w:tc>
        <w:tc>
          <w:tcPr>
            <w:tcW w:w="6917" w:type="dxa"/>
          </w:tcPr>
          <w:p w:rsidR="00FA23CA" w:rsidRPr="00B246B2" w:rsidRDefault="00FA23CA" w:rsidP="00A2742F">
            <w:pPr>
              <w:ind w:firstLine="11"/>
              <w:jc w:val="both"/>
              <w:rPr>
                <w:rFonts w:ascii="Times New Roman" w:eastAsiaTheme="minorHAnsi" w:hAnsi="Times New Roman"/>
                <w:color w:val="1F1D26"/>
              </w:rPr>
            </w:pPr>
            <w:r w:rsidRPr="00B246B2">
              <w:rPr>
                <w:rFonts w:ascii="Times New Roman" w:eastAsiaTheme="minorHAnsi" w:hAnsi="Times New Roman"/>
                <w:color w:val="1F1D26"/>
              </w:rPr>
              <w:t>Подготовка и направление для размещения информации (обзоров) о типичных нарушениях обязательных требований подконтрольными субъектами, выявляемых при проведении мероприятий по контролю (надзору), с указанием наиболее часто встречающихся случаев нарушений обязательных требований</w:t>
            </w:r>
          </w:p>
        </w:tc>
        <w:tc>
          <w:tcPr>
            <w:tcW w:w="2268"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Ежеквартально</w:t>
            </w:r>
          </w:p>
        </w:tc>
        <w:tc>
          <w:tcPr>
            <w:tcW w:w="2410"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Повышение</w:t>
            </w:r>
          </w:p>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правовой</w:t>
            </w:r>
          </w:p>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грамотности подконтрольных субъектов</w:t>
            </w:r>
          </w:p>
        </w:tc>
        <w:tc>
          <w:tcPr>
            <w:tcW w:w="2693"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УЗН</w:t>
            </w:r>
          </w:p>
        </w:tc>
      </w:tr>
      <w:tr w:rsidR="00FA23CA" w:rsidRPr="00B246B2" w:rsidTr="00F82B17">
        <w:trPr>
          <w:trHeight w:val="467"/>
        </w:trPr>
        <w:tc>
          <w:tcPr>
            <w:tcW w:w="596" w:type="dxa"/>
          </w:tcPr>
          <w:p w:rsidR="00FA23CA" w:rsidRPr="00B246B2" w:rsidRDefault="00FA23CA" w:rsidP="00A2742F">
            <w:pPr>
              <w:spacing w:line="276" w:lineRule="auto"/>
              <w:jc w:val="center"/>
              <w:rPr>
                <w:rFonts w:ascii="Times New Roman" w:eastAsiaTheme="minorHAnsi" w:hAnsi="Times New Roman"/>
                <w:color w:val="1F1D26"/>
                <w:w w:val="105"/>
              </w:rPr>
            </w:pPr>
            <w:r w:rsidRPr="00B246B2">
              <w:rPr>
                <w:rFonts w:ascii="Times New Roman" w:eastAsiaTheme="minorHAnsi" w:hAnsi="Times New Roman"/>
                <w:color w:val="1F1D26"/>
                <w:w w:val="105"/>
              </w:rPr>
              <w:t>3.</w:t>
            </w:r>
          </w:p>
        </w:tc>
        <w:tc>
          <w:tcPr>
            <w:tcW w:w="14288" w:type="dxa"/>
            <w:gridSpan w:val="4"/>
          </w:tcPr>
          <w:p w:rsidR="00FA23CA" w:rsidRPr="00B246B2" w:rsidRDefault="00FA23CA" w:rsidP="00A2742F">
            <w:pPr>
              <w:jc w:val="center"/>
              <w:rPr>
                <w:rFonts w:ascii="Times New Roman" w:eastAsiaTheme="minorHAnsi" w:hAnsi="Times New Roman"/>
                <w:color w:val="1F1D26"/>
                <w:w w:val="105"/>
              </w:rPr>
            </w:pPr>
            <w:r w:rsidRPr="00B246B2">
              <w:rPr>
                <w:rFonts w:ascii="Times New Roman" w:eastAsiaTheme="minorHAnsi" w:hAnsi="Times New Roman"/>
                <w:color w:val="1F1D26"/>
                <w:w w:val="105"/>
              </w:rPr>
              <w:t>Объявление предостережения</w:t>
            </w:r>
          </w:p>
        </w:tc>
      </w:tr>
      <w:tr w:rsidR="00FA23CA" w:rsidRPr="00B246B2" w:rsidTr="00F82B17">
        <w:tc>
          <w:tcPr>
            <w:tcW w:w="596" w:type="dxa"/>
          </w:tcPr>
          <w:p w:rsidR="00FA23CA" w:rsidRPr="000600DE" w:rsidRDefault="00FA23CA" w:rsidP="00A2742F">
            <w:pPr>
              <w:spacing w:line="276" w:lineRule="auto"/>
              <w:jc w:val="center"/>
              <w:rPr>
                <w:rFonts w:ascii="Times New Roman" w:eastAsiaTheme="minorHAnsi" w:hAnsi="Times New Roman"/>
                <w:color w:val="1F1D26"/>
                <w:w w:val="105"/>
              </w:rPr>
            </w:pPr>
            <w:r w:rsidRPr="000600DE">
              <w:rPr>
                <w:rFonts w:ascii="Times New Roman" w:eastAsiaTheme="minorHAnsi" w:hAnsi="Times New Roman"/>
                <w:color w:val="1F1D26"/>
                <w:w w:val="105"/>
              </w:rPr>
              <w:t>3.1.</w:t>
            </w:r>
          </w:p>
        </w:tc>
        <w:tc>
          <w:tcPr>
            <w:tcW w:w="6917" w:type="dxa"/>
          </w:tcPr>
          <w:p w:rsidR="00FA23CA" w:rsidRPr="00B246B2" w:rsidRDefault="00FA23CA" w:rsidP="00A2742F">
            <w:pPr>
              <w:ind w:firstLine="11"/>
              <w:jc w:val="both"/>
              <w:rPr>
                <w:rFonts w:ascii="Times New Roman" w:eastAsiaTheme="minorHAnsi" w:hAnsi="Times New Roman"/>
                <w:color w:val="1F1D26"/>
              </w:rPr>
            </w:pPr>
            <w:r w:rsidRPr="00B246B2">
              <w:rPr>
                <w:rFonts w:ascii="Times New Roman" w:eastAsiaTheme="minorHAnsi" w:hAnsi="Times New Roman"/>
                <w:color w:val="1F1D26"/>
              </w:rPr>
              <w:t>Проведение анализа соблюдения юридическими лицами, индивидуальными предпринимателями обязательных требований в процессе осуществления деятельности.</w:t>
            </w:r>
          </w:p>
          <w:p w:rsidR="00FA23CA" w:rsidRPr="00B246B2" w:rsidRDefault="00FA23CA" w:rsidP="00A2742F">
            <w:pPr>
              <w:ind w:firstLine="11"/>
              <w:jc w:val="both"/>
              <w:rPr>
                <w:rFonts w:ascii="Times New Roman" w:eastAsiaTheme="minorHAnsi" w:hAnsi="Times New Roman"/>
                <w:color w:val="1F1D26"/>
              </w:rPr>
            </w:pPr>
            <w:r w:rsidRPr="00B246B2">
              <w:rPr>
                <w:rFonts w:ascii="Times New Roman" w:eastAsiaTheme="minorHAnsi" w:hAnsi="Times New Roman"/>
                <w:color w:val="1F1D26"/>
              </w:rPr>
              <w:t>По результатам проведенного анализа направление в Департамент для принятия мер сведений о готовящихся нарушениях или о признаках нарушений обязательных требований с перечнем работодателей:</w:t>
            </w:r>
          </w:p>
          <w:p w:rsidR="00FA23CA" w:rsidRPr="00B246B2" w:rsidRDefault="00FA23CA" w:rsidP="00A2742F">
            <w:pPr>
              <w:ind w:firstLine="11"/>
              <w:jc w:val="both"/>
              <w:rPr>
                <w:rFonts w:ascii="Times New Roman" w:eastAsiaTheme="minorHAnsi" w:hAnsi="Times New Roman"/>
                <w:color w:val="1F1D26"/>
              </w:rPr>
            </w:pPr>
            <w:r w:rsidRPr="00B246B2">
              <w:rPr>
                <w:rFonts w:ascii="Times New Roman" w:eastAsiaTheme="minorHAnsi" w:hAnsi="Times New Roman"/>
                <w:color w:val="1F1D26"/>
              </w:rPr>
              <w:t>1) не предоставляющих ин­ 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rsidR="00FA23CA" w:rsidRPr="00B246B2" w:rsidRDefault="00FA23CA" w:rsidP="00A2742F">
            <w:pPr>
              <w:ind w:firstLine="11"/>
              <w:jc w:val="both"/>
              <w:rPr>
                <w:rFonts w:ascii="Times New Roman" w:eastAsiaTheme="minorHAnsi" w:hAnsi="Times New Roman"/>
                <w:color w:val="1F1D26"/>
              </w:rPr>
            </w:pPr>
            <w:r w:rsidRPr="00B246B2">
              <w:rPr>
                <w:rFonts w:ascii="Times New Roman" w:eastAsiaTheme="minorHAnsi" w:hAnsi="Times New Roman"/>
                <w:color w:val="1F1D26"/>
              </w:rPr>
              <w:t>2) предоставляющих информацию о наличии свободных рабочих мест и вакантных должностей, 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 не в установленные со­ ответствующими нормативными правовыми актами сроки</w:t>
            </w:r>
          </w:p>
        </w:tc>
        <w:tc>
          <w:tcPr>
            <w:tcW w:w="2268"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Ежемесячно, до 20 числа месяца, следующего за отчетным</w:t>
            </w:r>
          </w:p>
        </w:tc>
        <w:tc>
          <w:tcPr>
            <w:tcW w:w="2410"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Предупреждение и профилактика правонарушений</w:t>
            </w:r>
          </w:p>
        </w:tc>
        <w:tc>
          <w:tcPr>
            <w:tcW w:w="2693"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МЦЗН</w:t>
            </w:r>
          </w:p>
        </w:tc>
      </w:tr>
      <w:tr w:rsidR="00FA23CA" w:rsidRPr="00B246B2" w:rsidTr="00F82B17">
        <w:tc>
          <w:tcPr>
            <w:tcW w:w="596" w:type="dxa"/>
          </w:tcPr>
          <w:p w:rsidR="00FA23CA" w:rsidRPr="000600DE" w:rsidRDefault="00FA23CA" w:rsidP="00A2742F">
            <w:pPr>
              <w:spacing w:line="276" w:lineRule="auto"/>
              <w:jc w:val="center"/>
              <w:rPr>
                <w:rFonts w:ascii="Times New Roman" w:eastAsiaTheme="minorHAnsi" w:hAnsi="Times New Roman"/>
                <w:color w:val="1F1D26"/>
                <w:w w:val="105"/>
              </w:rPr>
            </w:pPr>
            <w:r w:rsidRPr="000600DE">
              <w:rPr>
                <w:rFonts w:ascii="Times New Roman" w:eastAsiaTheme="minorHAnsi" w:hAnsi="Times New Roman"/>
                <w:color w:val="1F1D26"/>
                <w:w w:val="105"/>
              </w:rPr>
              <w:t>3.2.</w:t>
            </w:r>
          </w:p>
        </w:tc>
        <w:tc>
          <w:tcPr>
            <w:tcW w:w="6917" w:type="dxa"/>
          </w:tcPr>
          <w:p w:rsidR="00FA23CA" w:rsidRPr="00B246B2" w:rsidRDefault="00FA23CA" w:rsidP="00A2742F">
            <w:pPr>
              <w:ind w:firstLine="11"/>
              <w:jc w:val="both"/>
              <w:rPr>
                <w:rFonts w:ascii="Times New Roman" w:eastAsiaTheme="minorHAnsi" w:hAnsi="Times New Roman"/>
                <w:color w:val="1F1D26"/>
              </w:rPr>
            </w:pPr>
            <w:r w:rsidRPr="00B246B2">
              <w:rPr>
                <w:rFonts w:ascii="Times New Roman" w:eastAsiaTheme="minorHAnsi" w:hAnsi="Times New Roman"/>
                <w:color w:val="1F1D26"/>
              </w:rPr>
              <w:t>Объявление при наличии у Департамента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268"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По мере выявления оснований для выдачи</w:t>
            </w:r>
          </w:p>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предостережений</w:t>
            </w:r>
          </w:p>
        </w:tc>
        <w:tc>
          <w:tcPr>
            <w:tcW w:w="2410" w:type="dxa"/>
          </w:tcPr>
          <w:p w:rsidR="00FA23CA" w:rsidRPr="00B246B2" w:rsidRDefault="00FA23CA" w:rsidP="00FA23CA">
            <w:pPr>
              <w:rPr>
                <w:rFonts w:ascii="Times New Roman" w:eastAsiaTheme="minorHAnsi" w:hAnsi="Times New Roman"/>
                <w:color w:val="1F1D26"/>
                <w:w w:val="105"/>
              </w:rPr>
            </w:pPr>
            <w:r w:rsidRPr="00B246B2">
              <w:rPr>
                <w:rFonts w:ascii="Times New Roman" w:eastAsiaTheme="minorHAnsi" w:hAnsi="Times New Roman"/>
                <w:color w:val="1F1D26"/>
                <w:w w:val="105"/>
              </w:rPr>
              <w:t>Предупреждение</w:t>
            </w:r>
            <w:r w:rsidR="00392CBD">
              <w:rPr>
                <w:rFonts w:ascii="Times New Roman" w:eastAsiaTheme="minorHAnsi" w:hAnsi="Times New Roman"/>
                <w:color w:val="1F1D26"/>
                <w:w w:val="105"/>
              </w:rPr>
              <w:t xml:space="preserve"> </w:t>
            </w:r>
            <w:r w:rsidRPr="00B246B2">
              <w:rPr>
                <w:rFonts w:ascii="Times New Roman" w:eastAsiaTheme="minorHAnsi" w:hAnsi="Times New Roman"/>
                <w:color w:val="1F1D26"/>
                <w:w w:val="105"/>
              </w:rPr>
              <w:t>и профилактика правонарушений</w:t>
            </w:r>
          </w:p>
        </w:tc>
        <w:tc>
          <w:tcPr>
            <w:tcW w:w="2693"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УЗН</w:t>
            </w:r>
          </w:p>
        </w:tc>
      </w:tr>
      <w:tr w:rsidR="00FA23CA" w:rsidRPr="00B246B2" w:rsidTr="00F82B17">
        <w:tc>
          <w:tcPr>
            <w:tcW w:w="596" w:type="dxa"/>
          </w:tcPr>
          <w:p w:rsidR="00FA23CA" w:rsidRPr="00B246B2" w:rsidRDefault="00FA23CA" w:rsidP="00A2742F">
            <w:pPr>
              <w:spacing w:line="276" w:lineRule="auto"/>
              <w:jc w:val="center"/>
              <w:rPr>
                <w:rFonts w:ascii="Times New Roman" w:eastAsiaTheme="minorHAnsi" w:hAnsi="Times New Roman"/>
                <w:color w:val="1F1D26"/>
                <w:w w:val="105"/>
              </w:rPr>
            </w:pPr>
            <w:r w:rsidRPr="00B246B2">
              <w:rPr>
                <w:rFonts w:ascii="Times New Roman" w:eastAsiaTheme="minorHAnsi" w:hAnsi="Times New Roman"/>
                <w:color w:val="1F1D26"/>
                <w:w w:val="105"/>
              </w:rPr>
              <w:t>4.</w:t>
            </w:r>
          </w:p>
        </w:tc>
        <w:tc>
          <w:tcPr>
            <w:tcW w:w="14288" w:type="dxa"/>
            <w:gridSpan w:val="4"/>
          </w:tcPr>
          <w:p w:rsidR="00FA23CA" w:rsidRPr="00B246B2" w:rsidRDefault="00FA23CA" w:rsidP="00A2742F">
            <w:pPr>
              <w:jc w:val="center"/>
              <w:rPr>
                <w:rFonts w:ascii="Times New Roman" w:eastAsiaTheme="minorHAnsi" w:hAnsi="Times New Roman"/>
                <w:color w:val="1F1D26"/>
                <w:w w:val="105"/>
              </w:rPr>
            </w:pPr>
            <w:r w:rsidRPr="00B246B2">
              <w:rPr>
                <w:rFonts w:ascii="Times New Roman" w:eastAsiaTheme="minorHAnsi" w:hAnsi="Times New Roman"/>
                <w:color w:val="1F1D26"/>
                <w:w w:val="105"/>
              </w:rPr>
              <w:t>Консультирование</w:t>
            </w:r>
          </w:p>
        </w:tc>
      </w:tr>
      <w:tr w:rsidR="00FA23CA" w:rsidRPr="00B246B2" w:rsidTr="00F82B17">
        <w:tc>
          <w:tcPr>
            <w:tcW w:w="596" w:type="dxa"/>
          </w:tcPr>
          <w:p w:rsidR="00FA23CA" w:rsidRPr="000600DE" w:rsidRDefault="00FA23CA" w:rsidP="00A2742F">
            <w:pPr>
              <w:spacing w:line="276" w:lineRule="auto"/>
              <w:jc w:val="center"/>
              <w:rPr>
                <w:rFonts w:ascii="Times New Roman" w:eastAsiaTheme="minorHAnsi" w:hAnsi="Times New Roman"/>
                <w:color w:val="1F1D26"/>
                <w:w w:val="105"/>
              </w:rPr>
            </w:pPr>
            <w:r w:rsidRPr="000600DE">
              <w:rPr>
                <w:rFonts w:ascii="Times New Roman" w:eastAsiaTheme="minorHAnsi" w:hAnsi="Times New Roman"/>
                <w:color w:val="1F1D26"/>
                <w:w w:val="105"/>
              </w:rPr>
              <w:t>4.1.</w:t>
            </w:r>
          </w:p>
        </w:tc>
        <w:tc>
          <w:tcPr>
            <w:tcW w:w="6917" w:type="dxa"/>
          </w:tcPr>
          <w:p w:rsidR="00FA23CA" w:rsidRPr="00B246B2" w:rsidRDefault="00FA23CA" w:rsidP="00A2742F">
            <w:pPr>
              <w:ind w:firstLine="11"/>
              <w:jc w:val="both"/>
              <w:rPr>
                <w:rFonts w:ascii="Times New Roman" w:eastAsiaTheme="minorHAnsi" w:hAnsi="Times New Roman"/>
                <w:color w:val="1F1D26"/>
              </w:rPr>
            </w:pPr>
            <w:r w:rsidRPr="00B246B2">
              <w:rPr>
                <w:rFonts w:ascii="Times New Roman" w:eastAsiaTheme="minorHAnsi" w:hAnsi="Times New Roman"/>
                <w:color w:val="1F1D26"/>
              </w:rPr>
              <w:t>Осуществляется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по следующим вопросам:</w:t>
            </w:r>
          </w:p>
          <w:p w:rsidR="00FA23CA" w:rsidRPr="00B246B2" w:rsidRDefault="00FA23CA" w:rsidP="00A2742F">
            <w:pPr>
              <w:ind w:firstLine="11"/>
              <w:jc w:val="both"/>
              <w:rPr>
                <w:rFonts w:ascii="Times New Roman" w:eastAsiaTheme="minorHAnsi" w:hAnsi="Times New Roman"/>
                <w:color w:val="1F1D26"/>
              </w:rPr>
            </w:pPr>
            <w:r w:rsidRPr="00B246B2">
              <w:rPr>
                <w:rFonts w:ascii="Times New Roman" w:eastAsiaTheme="minorHAnsi" w:hAnsi="Times New Roman"/>
                <w:color w:val="1F1D26"/>
              </w:rPr>
              <w:t>1) осуществление контрольных (надзорных) мероприятий в рамках регионального контроля;</w:t>
            </w:r>
          </w:p>
          <w:p w:rsidR="00FA23CA" w:rsidRPr="00B246B2" w:rsidRDefault="00FA23CA" w:rsidP="00A2742F">
            <w:pPr>
              <w:ind w:firstLine="11"/>
              <w:jc w:val="both"/>
              <w:rPr>
                <w:rFonts w:ascii="Times New Roman" w:eastAsiaTheme="minorHAnsi" w:hAnsi="Times New Roman"/>
                <w:color w:val="1F1D26"/>
              </w:rPr>
            </w:pPr>
            <w:r w:rsidRPr="00B246B2">
              <w:rPr>
                <w:rFonts w:ascii="Times New Roman" w:eastAsiaTheme="minorHAnsi" w:hAnsi="Times New Roman"/>
                <w:color w:val="1F1D26"/>
              </w:rPr>
              <w:t>2) исполнение обязательных требований, являющихся предметом регионального контроля;</w:t>
            </w:r>
          </w:p>
          <w:p w:rsidR="00FA23CA" w:rsidRPr="00B246B2" w:rsidRDefault="00FA23CA" w:rsidP="00A2742F">
            <w:pPr>
              <w:ind w:firstLine="11"/>
              <w:jc w:val="both"/>
              <w:rPr>
                <w:rFonts w:ascii="Times New Roman" w:eastAsiaTheme="minorHAnsi" w:hAnsi="Times New Roman"/>
                <w:color w:val="1F1D26"/>
              </w:rPr>
            </w:pPr>
            <w:r w:rsidRPr="00B246B2">
              <w:rPr>
                <w:rFonts w:ascii="Times New Roman" w:eastAsiaTheme="minorHAnsi" w:hAnsi="Times New Roman"/>
                <w:color w:val="1F1D26"/>
              </w:rPr>
              <w:t>3) по вопросам проведения профилактических мероприятий.</w:t>
            </w:r>
          </w:p>
        </w:tc>
        <w:tc>
          <w:tcPr>
            <w:tcW w:w="2268"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По мере поступления обращений</w:t>
            </w:r>
          </w:p>
        </w:tc>
        <w:tc>
          <w:tcPr>
            <w:tcW w:w="2410"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Предупреждение</w:t>
            </w:r>
            <w:r w:rsidR="00392CBD">
              <w:rPr>
                <w:rFonts w:ascii="Times New Roman" w:eastAsiaTheme="minorHAnsi" w:hAnsi="Times New Roman"/>
                <w:color w:val="1F1D26"/>
                <w:w w:val="105"/>
              </w:rPr>
              <w:t xml:space="preserve"> </w:t>
            </w:r>
            <w:r w:rsidRPr="00B246B2">
              <w:rPr>
                <w:rFonts w:ascii="Times New Roman" w:eastAsiaTheme="minorHAnsi" w:hAnsi="Times New Roman"/>
                <w:color w:val="1F1D26"/>
                <w:w w:val="105"/>
              </w:rPr>
              <w:t>и профилактика правонарушений</w:t>
            </w:r>
          </w:p>
        </w:tc>
        <w:tc>
          <w:tcPr>
            <w:tcW w:w="2693"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УЗН</w:t>
            </w:r>
          </w:p>
        </w:tc>
      </w:tr>
      <w:tr w:rsidR="00FA23CA" w:rsidRPr="00B246B2" w:rsidTr="00F82B17">
        <w:tc>
          <w:tcPr>
            <w:tcW w:w="596" w:type="dxa"/>
          </w:tcPr>
          <w:p w:rsidR="00FA23CA" w:rsidRPr="000600DE" w:rsidRDefault="00FA23CA" w:rsidP="00A2742F">
            <w:pPr>
              <w:spacing w:line="276" w:lineRule="auto"/>
              <w:jc w:val="center"/>
              <w:rPr>
                <w:rFonts w:ascii="Times New Roman" w:eastAsiaTheme="minorHAnsi" w:hAnsi="Times New Roman"/>
                <w:color w:val="1F1D26"/>
                <w:w w:val="105"/>
              </w:rPr>
            </w:pPr>
            <w:r w:rsidRPr="000600DE">
              <w:rPr>
                <w:rFonts w:ascii="Times New Roman" w:eastAsiaTheme="minorHAnsi" w:hAnsi="Times New Roman"/>
                <w:color w:val="1F1D26"/>
                <w:w w:val="105"/>
              </w:rPr>
              <w:t>5.</w:t>
            </w:r>
          </w:p>
        </w:tc>
        <w:tc>
          <w:tcPr>
            <w:tcW w:w="14288" w:type="dxa"/>
            <w:gridSpan w:val="4"/>
          </w:tcPr>
          <w:p w:rsidR="00FA23CA" w:rsidRPr="00B246B2" w:rsidRDefault="00FA23CA" w:rsidP="00A2742F">
            <w:pPr>
              <w:jc w:val="center"/>
              <w:rPr>
                <w:rFonts w:ascii="Times New Roman" w:eastAsiaTheme="minorHAnsi" w:hAnsi="Times New Roman"/>
                <w:color w:val="1F1D26"/>
                <w:w w:val="105"/>
              </w:rPr>
            </w:pPr>
            <w:r w:rsidRPr="00B246B2">
              <w:rPr>
                <w:rFonts w:ascii="Times New Roman" w:eastAsiaTheme="minorHAnsi" w:hAnsi="Times New Roman"/>
                <w:color w:val="1F1D26"/>
                <w:w w:val="105"/>
              </w:rPr>
              <w:t>Профилактический визит</w:t>
            </w:r>
          </w:p>
        </w:tc>
      </w:tr>
      <w:tr w:rsidR="00FA23CA" w:rsidRPr="00B246B2" w:rsidTr="00F82B17">
        <w:tc>
          <w:tcPr>
            <w:tcW w:w="596" w:type="dxa"/>
          </w:tcPr>
          <w:p w:rsidR="00FA23CA" w:rsidRPr="000600DE" w:rsidRDefault="00FA23CA" w:rsidP="00A2742F">
            <w:pPr>
              <w:spacing w:line="276" w:lineRule="auto"/>
              <w:jc w:val="center"/>
              <w:rPr>
                <w:rFonts w:ascii="Times New Roman" w:eastAsiaTheme="minorHAnsi" w:hAnsi="Times New Roman"/>
                <w:color w:val="1F1D26"/>
                <w:w w:val="105"/>
              </w:rPr>
            </w:pPr>
            <w:r w:rsidRPr="000600DE">
              <w:rPr>
                <w:rFonts w:ascii="Times New Roman" w:eastAsiaTheme="minorHAnsi" w:hAnsi="Times New Roman"/>
                <w:color w:val="1F1D26"/>
                <w:w w:val="105"/>
              </w:rPr>
              <w:t>5.1.</w:t>
            </w:r>
          </w:p>
        </w:tc>
        <w:tc>
          <w:tcPr>
            <w:tcW w:w="6917" w:type="dxa"/>
          </w:tcPr>
          <w:p w:rsidR="00FA23CA" w:rsidRPr="00B246B2" w:rsidRDefault="00FA23CA" w:rsidP="00A2742F">
            <w:pPr>
              <w:ind w:firstLine="11"/>
              <w:jc w:val="both"/>
              <w:rPr>
                <w:rFonts w:ascii="Times New Roman" w:eastAsiaTheme="minorHAnsi" w:hAnsi="Times New Roman"/>
                <w:color w:val="1F1D26"/>
              </w:rPr>
            </w:pPr>
            <w:r w:rsidRPr="00B246B2">
              <w:rPr>
                <w:rFonts w:ascii="Times New Roman" w:eastAsiaTheme="minorHAnsi" w:hAnsi="Times New Roman"/>
                <w:color w:val="1F1D26"/>
              </w:rPr>
              <w:t xml:space="preserve">Обязательные профилактические визиты проводятся в отношении контролируемых лиц, деятельность которых отнесена к категориям значительного риска </w:t>
            </w:r>
          </w:p>
        </w:tc>
        <w:tc>
          <w:tcPr>
            <w:tcW w:w="2268"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 xml:space="preserve">2-4 кварталы 2022 года, </w:t>
            </w:r>
          </w:p>
          <w:p w:rsidR="00FA23CA" w:rsidRPr="00B246B2" w:rsidRDefault="00FA23CA" w:rsidP="00A2742F">
            <w:pPr>
              <w:rPr>
                <w:rFonts w:ascii="Times New Roman" w:eastAsiaTheme="minorHAnsi" w:hAnsi="Times New Roman"/>
                <w:color w:val="1F1D26"/>
                <w:w w:val="105"/>
              </w:rPr>
            </w:pPr>
          </w:p>
        </w:tc>
        <w:tc>
          <w:tcPr>
            <w:tcW w:w="2410"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Предупреждение</w:t>
            </w:r>
            <w:r w:rsidR="00392CBD">
              <w:rPr>
                <w:rFonts w:ascii="Times New Roman" w:eastAsiaTheme="minorHAnsi" w:hAnsi="Times New Roman"/>
                <w:color w:val="1F1D26"/>
                <w:w w:val="105"/>
              </w:rPr>
              <w:t xml:space="preserve"> </w:t>
            </w:r>
            <w:r w:rsidRPr="00B246B2">
              <w:rPr>
                <w:rFonts w:ascii="Times New Roman" w:eastAsiaTheme="minorHAnsi" w:hAnsi="Times New Roman"/>
                <w:color w:val="1F1D26"/>
                <w:w w:val="105"/>
              </w:rPr>
              <w:t>и профилактика правонарушений</w:t>
            </w:r>
          </w:p>
        </w:tc>
        <w:tc>
          <w:tcPr>
            <w:tcW w:w="2693" w:type="dxa"/>
          </w:tcPr>
          <w:p w:rsidR="00FA23CA" w:rsidRPr="00B246B2" w:rsidRDefault="00FA23CA" w:rsidP="00A2742F">
            <w:pPr>
              <w:rPr>
                <w:rFonts w:ascii="Times New Roman" w:eastAsiaTheme="minorHAnsi" w:hAnsi="Times New Roman"/>
                <w:color w:val="1F1D26"/>
                <w:w w:val="105"/>
              </w:rPr>
            </w:pPr>
            <w:r w:rsidRPr="00B246B2">
              <w:rPr>
                <w:rFonts w:ascii="Times New Roman" w:eastAsiaTheme="minorHAnsi" w:hAnsi="Times New Roman"/>
                <w:color w:val="1F1D26"/>
                <w:w w:val="105"/>
              </w:rPr>
              <w:t>УЗН</w:t>
            </w:r>
          </w:p>
        </w:tc>
      </w:tr>
    </w:tbl>
    <w:p w:rsidR="00FA23CA" w:rsidRDefault="00FA23CA" w:rsidP="00FA23CA">
      <w:pPr>
        <w:jc w:val="center"/>
        <w:rPr>
          <w:rFonts w:eastAsia="Calibri"/>
          <w:color w:val="1F1D26"/>
          <w:w w:val="105"/>
          <w:sz w:val="28"/>
          <w:szCs w:val="28"/>
          <w:lang w:eastAsia="en-US"/>
        </w:rPr>
        <w:sectPr w:rsidR="00FA23CA" w:rsidSect="00B246B2">
          <w:pgSz w:w="16838" w:h="11906" w:orient="landscape"/>
          <w:pgMar w:top="1418" w:right="567" w:bottom="709" w:left="1134" w:header="709" w:footer="709" w:gutter="0"/>
          <w:cols w:space="708"/>
          <w:formProt w:val="0"/>
          <w:docGrid w:linePitch="360"/>
        </w:sectPr>
      </w:pPr>
    </w:p>
    <w:p w:rsidR="00FA23CA" w:rsidRPr="00522512" w:rsidRDefault="00FA23CA" w:rsidP="00FA23CA">
      <w:pPr>
        <w:jc w:val="center"/>
        <w:rPr>
          <w:rFonts w:eastAsia="Calibri"/>
          <w:color w:val="1F1D26"/>
          <w:w w:val="105"/>
          <w:sz w:val="28"/>
          <w:szCs w:val="28"/>
          <w:lang w:eastAsia="en-US"/>
        </w:rPr>
      </w:pPr>
    </w:p>
    <w:p w:rsidR="00FA23CA" w:rsidRPr="00522512" w:rsidRDefault="00FA23CA" w:rsidP="00FA23CA">
      <w:pPr>
        <w:ind w:firstLine="709"/>
        <w:jc w:val="center"/>
        <w:rPr>
          <w:rFonts w:eastAsia="Calibri"/>
          <w:color w:val="1F1D26"/>
          <w:w w:val="105"/>
          <w:sz w:val="28"/>
          <w:szCs w:val="28"/>
          <w:lang w:eastAsia="en-US"/>
        </w:rPr>
      </w:pPr>
      <w:r w:rsidRPr="00522512">
        <w:rPr>
          <w:rFonts w:eastAsia="Calibri"/>
          <w:color w:val="1F1D26"/>
          <w:w w:val="105"/>
          <w:sz w:val="28"/>
          <w:szCs w:val="28"/>
          <w:lang w:eastAsia="en-US"/>
        </w:rPr>
        <w:t>Раздел 4. Показатели результативности и эффективности Программы</w:t>
      </w:r>
    </w:p>
    <w:p w:rsidR="00FA23CA" w:rsidRPr="00522512" w:rsidRDefault="00FA23CA" w:rsidP="00FA23CA">
      <w:pPr>
        <w:ind w:firstLine="709"/>
        <w:jc w:val="both"/>
        <w:rPr>
          <w:rFonts w:eastAsia="Calibri"/>
          <w:color w:val="1F1D26"/>
          <w:w w:val="105"/>
          <w:sz w:val="28"/>
          <w:szCs w:val="28"/>
          <w:lang w:eastAsia="en-US"/>
        </w:rPr>
      </w:pPr>
    </w:p>
    <w:p w:rsidR="00FA23CA" w:rsidRPr="000600DE" w:rsidRDefault="00FA23CA" w:rsidP="00FA23CA">
      <w:pPr>
        <w:ind w:firstLine="709"/>
        <w:jc w:val="both"/>
        <w:rPr>
          <w:rFonts w:eastAsia="Calibri"/>
          <w:color w:val="1F1D26"/>
          <w:w w:val="105"/>
          <w:sz w:val="28"/>
          <w:szCs w:val="28"/>
          <w:lang w:eastAsia="en-US"/>
        </w:rPr>
      </w:pPr>
      <w:r>
        <w:rPr>
          <w:rFonts w:eastAsia="Calibri"/>
          <w:color w:val="1F1D26"/>
          <w:w w:val="105"/>
          <w:sz w:val="28"/>
          <w:szCs w:val="28"/>
          <w:lang w:eastAsia="en-US"/>
        </w:rPr>
        <w:t xml:space="preserve">4.1. </w:t>
      </w:r>
      <w:r w:rsidRPr="000600DE">
        <w:rPr>
          <w:rFonts w:eastAsia="Calibri"/>
          <w:color w:val="1F1D26"/>
          <w:w w:val="105"/>
          <w:sz w:val="28"/>
          <w:szCs w:val="28"/>
          <w:lang w:eastAsia="en-US"/>
        </w:rPr>
        <w:t>В целях оценки эффективности Программы Управление занятости населения ежегодно осуществляет:</w:t>
      </w:r>
    </w:p>
    <w:p w:rsidR="00FA23CA" w:rsidRPr="000600DE" w:rsidRDefault="00FA23CA" w:rsidP="00FA23CA">
      <w:pPr>
        <w:ind w:firstLine="709"/>
        <w:jc w:val="both"/>
        <w:rPr>
          <w:rFonts w:eastAsia="Calibri"/>
          <w:color w:val="1F1D26"/>
          <w:w w:val="105"/>
          <w:sz w:val="28"/>
          <w:szCs w:val="28"/>
          <w:lang w:eastAsia="en-US"/>
        </w:rPr>
      </w:pPr>
      <w:r w:rsidRPr="000600DE">
        <w:rPr>
          <w:rFonts w:eastAsia="Calibri"/>
          <w:color w:val="1F1D26"/>
          <w:w w:val="105"/>
          <w:sz w:val="28"/>
          <w:szCs w:val="28"/>
          <w:lang w:eastAsia="en-US"/>
        </w:rPr>
        <w:t>расчет выявленных нарушений обязательных требований при осуществлении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FA23CA" w:rsidRPr="000600DE" w:rsidRDefault="00FA23CA" w:rsidP="00FA23CA">
      <w:pPr>
        <w:ind w:firstLine="709"/>
        <w:jc w:val="both"/>
        <w:rPr>
          <w:rFonts w:eastAsia="Calibri"/>
          <w:color w:val="1F1D26"/>
          <w:w w:val="105"/>
          <w:sz w:val="28"/>
          <w:szCs w:val="28"/>
          <w:lang w:eastAsia="en-US"/>
        </w:rPr>
      </w:pPr>
      <w:r w:rsidRPr="000600DE">
        <w:rPr>
          <w:rFonts w:eastAsia="Calibri"/>
          <w:color w:val="1F1D26"/>
          <w:w w:val="105"/>
          <w:sz w:val="28"/>
          <w:szCs w:val="28"/>
          <w:lang w:eastAsia="en-US"/>
        </w:rPr>
        <w:t>соотношение устраненных нарушений, выявленных в результате проведения проверочных мероприятий, к общему количеству выявленных нарушений обязательных требований при осуществлении надзора и контроля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FA23CA" w:rsidRPr="000600DE" w:rsidRDefault="00FA23CA" w:rsidP="00FA23CA">
      <w:pPr>
        <w:ind w:firstLine="709"/>
        <w:jc w:val="both"/>
        <w:rPr>
          <w:rFonts w:eastAsia="Calibri"/>
          <w:color w:val="1F1D26"/>
          <w:w w:val="105"/>
          <w:sz w:val="28"/>
          <w:szCs w:val="28"/>
          <w:lang w:eastAsia="en-US"/>
        </w:rPr>
      </w:pPr>
      <w:r>
        <w:rPr>
          <w:rFonts w:eastAsia="Calibri"/>
          <w:color w:val="1F1D26"/>
          <w:w w:val="105"/>
          <w:sz w:val="28"/>
          <w:szCs w:val="28"/>
          <w:lang w:eastAsia="en-US"/>
        </w:rPr>
        <w:t>4</w:t>
      </w:r>
      <w:r w:rsidRPr="000600DE">
        <w:rPr>
          <w:rFonts w:eastAsia="Calibri"/>
          <w:color w:val="1F1D26"/>
          <w:w w:val="105"/>
          <w:sz w:val="28"/>
          <w:szCs w:val="28"/>
          <w:lang w:eastAsia="en-US"/>
        </w:rPr>
        <w:t>.2. Значение показателя выражается в процентах.</w:t>
      </w:r>
    </w:p>
    <w:p w:rsidR="00FA23CA" w:rsidRPr="000600DE" w:rsidRDefault="00FA23CA" w:rsidP="00FA23CA">
      <w:pPr>
        <w:ind w:firstLine="709"/>
        <w:jc w:val="both"/>
        <w:rPr>
          <w:rFonts w:eastAsia="Calibri"/>
          <w:color w:val="1F1D26"/>
          <w:w w:val="105"/>
          <w:sz w:val="28"/>
          <w:szCs w:val="28"/>
          <w:lang w:eastAsia="en-US"/>
        </w:rPr>
      </w:pPr>
      <w:r>
        <w:rPr>
          <w:rFonts w:eastAsia="Calibri"/>
          <w:color w:val="1F1D26"/>
          <w:w w:val="105"/>
          <w:sz w:val="28"/>
          <w:szCs w:val="28"/>
          <w:lang w:eastAsia="en-US"/>
        </w:rPr>
        <w:t>4</w:t>
      </w:r>
      <w:r w:rsidRPr="000600DE">
        <w:rPr>
          <w:rFonts w:eastAsia="Calibri"/>
          <w:color w:val="1F1D26"/>
          <w:w w:val="105"/>
          <w:sz w:val="28"/>
          <w:szCs w:val="28"/>
          <w:lang w:eastAsia="en-US"/>
        </w:rPr>
        <w:t>.3. Оценка достигнутых значений показателя осуществляется по трехбалльной шкале:</w:t>
      </w:r>
    </w:p>
    <w:p w:rsidR="00FA23CA" w:rsidRPr="000600DE" w:rsidRDefault="00FA23CA" w:rsidP="00FA23CA">
      <w:pPr>
        <w:ind w:firstLine="709"/>
        <w:jc w:val="both"/>
        <w:rPr>
          <w:rFonts w:eastAsia="Calibri"/>
          <w:color w:val="1F1D26"/>
          <w:w w:val="105"/>
          <w:sz w:val="28"/>
          <w:szCs w:val="28"/>
          <w:lang w:eastAsia="en-US"/>
        </w:rPr>
      </w:pPr>
      <w:r w:rsidRPr="000600DE">
        <w:rPr>
          <w:rFonts w:eastAsia="Calibri"/>
          <w:color w:val="1F1D26"/>
          <w:w w:val="105"/>
          <w:sz w:val="28"/>
          <w:szCs w:val="28"/>
          <w:lang w:eastAsia="en-US"/>
        </w:rPr>
        <w:t>если значение показателя составляет от 50 до 100 процентов, показателю присваивается 3 балла;</w:t>
      </w:r>
    </w:p>
    <w:p w:rsidR="00FA23CA" w:rsidRPr="000600DE" w:rsidRDefault="00FA23CA" w:rsidP="00FA23CA">
      <w:pPr>
        <w:ind w:firstLine="709"/>
        <w:jc w:val="both"/>
        <w:rPr>
          <w:rFonts w:eastAsia="Calibri"/>
          <w:color w:val="1F1D26"/>
          <w:w w:val="105"/>
          <w:sz w:val="28"/>
          <w:szCs w:val="28"/>
          <w:lang w:eastAsia="en-US"/>
        </w:rPr>
      </w:pPr>
      <w:r w:rsidRPr="000600DE">
        <w:rPr>
          <w:rFonts w:eastAsia="Calibri"/>
          <w:color w:val="1F1D26"/>
          <w:w w:val="105"/>
          <w:sz w:val="28"/>
          <w:szCs w:val="28"/>
          <w:lang w:eastAsia="en-US"/>
        </w:rPr>
        <w:t>если значение показателя составляет от 20 до 49 процентов, показателю присваивается 2 балла;</w:t>
      </w:r>
    </w:p>
    <w:p w:rsidR="00FA23CA" w:rsidRPr="000600DE" w:rsidRDefault="00FA23CA" w:rsidP="00FA23CA">
      <w:pPr>
        <w:ind w:firstLine="709"/>
        <w:jc w:val="both"/>
        <w:rPr>
          <w:rFonts w:eastAsia="Calibri"/>
          <w:color w:val="1F1D26"/>
          <w:w w:val="105"/>
          <w:sz w:val="28"/>
          <w:szCs w:val="28"/>
          <w:lang w:eastAsia="en-US"/>
        </w:rPr>
      </w:pPr>
      <w:r w:rsidRPr="000600DE">
        <w:rPr>
          <w:rFonts w:eastAsia="Calibri"/>
          <w:color w:val="1F1D26"/>
          <w:w w:val="105"/>
          <w:sz w:val="28"/>
          <w:szCs w:val="28"/>
          <w:lang w:eastAsia="en-US"/>
        </w:rPr>
        <w:t>если значение показателя составляет от 10 до 19 процентов, показателю присваивается 1 балл;</w:t>
      </w:r>
    </w:p>
    <w:p w:rsidR="00FA23CA" w:rsidRPr="000600DE" w:rsidRDefault="00FA23CA" w:rsidP="00FA23CA">
      <w:pPr>
        <w:ind w:firstLine="709"/>
        <w:jc w:val="both"/>
        <w:rPr>
          <w:rFonts w:eastAsia="Calibri"/>
          <w:color w:val="1F1D26"/>
          <w:w w:val="105"/>
          <w:sz w:val="28"/>
          <w:szCs w:val="28"/>
          <w:lang w:eastAsia="en-US"/>
        </w:rPr>
      </w:pPr>
      <w:r w:rsidRPr="000600DE">
        <w:rPr>
          <w:rFonts w:eastAsia="Calibri"/>
          <w:color w:val="1F1D26"/>
          <w:w w:val="105"/>
          <w:sz w:val="28"/>
          <w:szCs w:val="28"/>
          <w:lang w:eastAsia="en-US"/>
        </w:rPr>
        <w:t>если значение показателя составляет от 0 до 9 процентов, показателю присваивается 0 баллов.</w:t>
      </w:r>
    </w:p>
    <w:p w:rsidR="00FA23CA" w:rsidRPr="000600DE" w:rsidRDefault="00FA23CA" w:rsidP="00FA23CA">
      <w:pPr>
        <w:ind w:firstLine="709"/>
        <w:jc w:val="both"/>
        <w:rPr>
          <w:rFonts w:eastAsia="Calibri"/>
          <w:color w:val="1F1D26"/>
          <w:w w:val="105"/>
          <w:sz w:val="28"/>
          <w:szCs w:val="28"/>
          <w:lang w:eastAsia="en-US"/>
        </w:rPr>
      </w:pPr>
    </w:p>
    <w:p w:rsidR="00FA23CA" w:rsidRPr="00686551" w:rsidRDefault="00FA23CA" w:rsidP="00FA23CA"/>
    <w:p w:rsidR="00522512" w:rsidRPr="00686551" w:rsidRDefault="00522512" w:rsidP="00FA23CA">
      <w:pPr>
        <w:spacing w:before="6" w:line="249" w:lineRule="auto"/>
        <w:ind w:left="293" w:right="185" w:firstLine="9"/>
        <w:jc w:val="center"/>
      </w:pPr>
    </w:p>
    <w:sectPr w:rsidR="00522512" w:rsidRPr="00686551" w:rsidSect="00C106B5">
      <w:headerReference w:type="even" r:id="rId8"/>
      <w:headerReference w:type="default" r:id="rId9"/>
      <w:footerReference w:type="even" r:id="rId10"/>
      <w:footerReference w:type="default" r:id="rId11"/>
      <w:headerReference w:type="first" r:id="rId12"/>
      <w:footerReference w:type="first" r:id="rId13"/>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583" w:rsidRDefault="00014583">
      <w:r>
        <w:separator/>
      </w:r>
    </w:p>
  </w:endnote>
  <w:endnote w:type="continuationSeparator" w:id="0">
    <w:p w:rsidR="00014583" w:rsidRDefault="0001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20" w:rsidRDefault="0014062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20" w:rsidRDefault="00140620">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20" w:rsidRDefault="0014062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583" w:rsidRDefault="00014583">
      <w:r>
        <w:separator/>
      </w:r>
    </w:p>
  </w:footnote>
  <w:footnote w:type="continuationSeparator" w:id="0">
    <w:p w:rsidR="00014583" w:rsidRDefault="00014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20" w:rsidRDefault="001406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20" w:rsidRDefault="0014062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620" w:rsidRDefault="001406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4">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5">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16">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2">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6">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6"/>
  </w:num>
  <w:num w:numId="4">
    <w:abstractNumId w:val="11"/>
  </w:num>
  <w:num w:numId="5">
    <w:abstractNumId w:val="21"/>
  </w:num>
  <w:num w:numId="6">
    <w:abstractNumId w:val="2"/>
  </w:num>
  <w:num w:numId="7">
    <w:abstractNumId w:val="9"/>
  </w:num>
  <w:num w:numId="8">
    <w:abstractNumId w:val="17"/>
  </w:num>
  <w:num w:numId="9">
    <w:abstractNumId w:val="22"/>
  </w:num>
  <w:num w:numId="10">
    <w:abstractNumId w:val="20"/>
  </w:num>
  <w:num w:numId="11">
    <w:abstractNumId w:val="16"/>
  </w:num>
  <w:num w:numId="12">
    <w:abstractNumId w:val="4"/>
  </w:num>
  <w:num w:numId="13">
    <w:abstractNumId w:val="24"/>
  </w:num>
  <w:num w:numId="14">
    <w:abstractNumId w:val="14"/>
  </w:num>
  <w:num w:numId="15">
    <w:abstractNumId w:val="25"/>
  </w:num>
  <w:num w:numId="16">
    <w:abstractNumId w:val="19"/>
  </w:num>
  <w:num w:numId="17">
    <w:abstractNumId w:val="6"/>
  </w:num>
  <w:num w:numId="18">
    <w:abstractNumId w:val="12"/>
  </w:num>
  <w:num w:numId="19">
    <w:abstractNumId w:val="15"/>
  </w:num>
  <w:num w:numId="20">
    <w:abstractNumId w:val="18"/>
  </w:num>
  <w:num w:numId="21">
    <w:abstractNumId w:val="7"/>
  </w:num>
  <w:num w:numId="22">
    <w:abstractNumId w:val="0"/>
  </w:num>
  <w:num w:numId="23">
    <w:abstractNumId w:val="1"/>
  </w:num>
  <w:num w:numId="24">
    <w:abstractNumId w:val="8"/>
  </w:num>
  <w:num w:numId="25">
    <w:abstractNumId w:val="13"/>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9C"/>
    <w:rsid w:val="000003E5"/>
    <w:rsid w:val="0000090B"/>
    <w:rsid w:val="00001263"/>
    <w:rsid w:val="00002F1E"/>
    <w:rsid w:val="00003429"/>
    <w:rsid w:val="00005B0D"/>
    <w:rsid w:val="000105A0"/>
    <w:rsid w:val="0001365C"/>
    <w:rsid w:val="0001455B"/>
    <w:rsid w:val="00014583"/>
    <w:rsid w:val="00015C2D"/>
    <w:rsid w:val="00016912"/>
    <w:rsid w:val="00017E5B"/>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1EA8"/>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2FFD"/>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49EF"/>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FE"/>
    <w:rsid w:val="00274AE3"/>
    <w:rsid w:val="0027683B"/>
    <w:rsid w:val="0027684C"/>
    <w:rsid w:val="00277BB1"/>
    <w:rsid w:val="00282133"/>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1D9E"/>
    <w:rsid w:val="00392CBD"/>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6C00"/>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5771E"/>
    <w:rsid w:val="004604F0"/>
    <w:rsid w:val="00461138"/>
    <w:rsid w:val="0046234A"/>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5C68"/>
    <w:rsid w:val="004C682A"/>
    <w:rsid w:val="004C7AB6"/>
    <w:rsid w:val="004D1E91"/>
    <w:rsid w:val="004D3817"/>
    <w:rsid w:val="004D5B9C"/>
    <w:rsid w:val="004D6433"/>
    <w:rsid w:val="004E102A"/>
    <w:rsid w:val="004E2E43"/>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12"/>
    <w:rsid w:val="0052256C"/>
    <w:rsid w:val="00525225"/>
    <w:rsid w:val="00526581"/>
    <w:rsid w:val="005312B6"/>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2AAC"/>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E7EBC"/>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0F1D"/>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5161"/>
    <w:rsid w:val="008C7752"/>
    <w:rsid w:val="008D1162"/>
    <w:rsid w:val="008D511D"/>
    <w:rsid w:val="008D58CE"/>
    <w:rsid w:val="008D5F3F"/>
    <w:rsid w:val="008D7F7C"/>
    <w:rsid w:val="008E0518"/>
    <w:rsid w:val="008E2064"/>
    <w:rsid w:val="008E21F1"/>
    <w:rsid w:val="008E2E0A"/>
    <w:rsid w:val="008E2EA9"/>
    <w:rsid w:val="008E4B41"/>
    <w:rsid w:val="008E4BB4"/>
    <w:rsid w:val="008E6B2B"/>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697B"/>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3A9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4FA3"/>
    <w:rsid w:val="00AD1702"/>
    <w:rsid w:val="00AD32D6"/>
    <w:rsid w:val="00AD34E4"/>
    <w:rsid w:val="00AE1EBC"/>
    <w:rsid w:val="00AE255E"/>
    <w:rsid w:val="00AE51EE"/>
    <w:rsid w:val="00AE59B6"/>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7B8"/>
    <w:rsid w:val="00B90ABB"/>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35F2"/>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6468"/>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750"/>
    <w:rsid w:val="00F66A1B"/>
    <w:rsid w:val="00F676BB"/>
    <w:rsid w:val="00F71434"/>
    <w:rsid w:val="00F71575"/>
    <w:rsid w:val="00F7225B"/>
    <w:rsid w:val="00F72B57"/>
    <w:rsid w:val="00F75BE9"/>
    <w:rsid w:val="00F77612"/>
    <w:rsid w:val="00F826C3"/>
    <w:rsid w:val="00F82B17"/>
    <w:rsid w:val="00F85F4A"/>
    <w:rsid w:val="00F8699C"/>
    <w:rsid w:val="00F86B4C"/>
    <w:rsid w:val="00F90208"/>
    <w:rsid w:val="00F91C08"/>
    <w:rsid w:val="00F92E29"/>
    <w:rsid w:val="00F9688B"/>
    <w:rsid w:val="00F97597"/>
    <w:rsid w:val="00FA23CA"/>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871AC-A93E-48E4-B972-8A93744E0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512"/>
    <w:rPr>
      <w:sz w:val="24"/>
      <w:szCs w:val="24"/>
    </w:rPr>
  </w:style>
  <w:style w:type="paragraph" w:styleId="1">
    <w:name w:val="heading 1"/>
    <w:basedOn w:val="a"/>
    <w:next w:val="a"/>
    <w:link w:val="10"/>
    <w:qFormat/>
    <w:rsid w:val="004D5B9C"/>
    <w:pPr>
      <w:keepNext/>
      <w:jc w:val="center"/>
      <w:outlineLvl w:val="0"/>
    </w:pPr>
    <w:rPr>
      <w:b/>
      <w:sz w:val="28"/>
      <w:szCs w:val="20"/>
    </w:rPr>
  </w:style>
  <w:style w:type="paragraph" w:styleId="2">
    <w:name w:val="heading 2"/>
    <w:basedOn w:val="a"/>
    <w:next w:val="a"/>
    <w:link w:val="20"/>
    <w:qFormat/>
    <w:rsid w:val="008613D5"/>
    <w:pPr>
      <w:keepNext/>
      <w:outlineLvl w:val="1"/>
    </w:pPr>
    <w:rPr>
      <w:sz w:val="28"/>
      <w:szCs w:val="20"/>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style>
  <w:style w:type="paragraph" w:styleId="8">
    <w:name w:val="heading 8"/>
    <w:basedOn w:val="a"/>
    <w:next w:val="a"/>
    <w:link w:val="80"/>
    <w:qFormat/>
    <w:rsid w:val="008613D5"/>
    <w:pPr>
      <w:keepNext/>
      <w:outlineLvl w:val="7"/>
    </w:pPr>
    <w:rPr>
      <w:sz w:val="26"/>
      <w:szCs w:val="20"/>
    </w:rPr>
  </w:style>
  <w:style w:type="paragraph" w:styleId="9">
    <w:name w:val="heading 9"/>
    <w:basedOn w:val="a"/>
    <w:next w:val="a"/>
    <w:link w:val="90"/>
    <w:qFormat/>
    <w:rsid w:val="008613D5"/>
    <w:pPr>
      <w:keepNext/>
      <w:jc w:val="right"/>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rPr>
  </w:style>
  <w:style w:type="character" w:customStyle="1" w:styleId="33">
    <w:name w:val="Основной текст 3 Знак"/>
    <w:link w:val="32"/>
    <w:rsid w:val="00470A11"/>
    <w:rPr>
      <w:sz w:val="16"/>
      <w:szCs w:val="16"/>
    </w:rPr>
  </w:style>
  <w:style w:type="table" w:customStyle="1" w:styleId="12">
    <w:name w:val="Сетка таблицы1"/>
    <w:basedOn w:val="a1"/>
    <w:next w:val="a8"/>
    <w:uiPriority w:val="59"/>
    <w:rsid w:val="005225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A1E8-AD3C-4A46-AB59-66819908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2001</Words>
  <Characters>15090</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17057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uzn2</cp:lastModifiedBy>
  <cp:revision>2</cp:revision>
  <cp:lastPrinted>2015-10-26T23:56:00Z</cp:lastPrinted>
  <dcterms:created xsi:type="dcterms:W3CDTF">2021-12-16T21:19:00Z</dcterms:created>
  <dcterms:modified xsi:type="dcterms:W3CDTF">2021-12-16T21:19:00Z</dcterms:modified>
</cp:coreProperties>
</file>