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ИНФОРМАЦИЯ</w:t>
      </w:r>
    </w:p>
    <w:p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о реализации мероприятий ведомственного плана</w:t>
      </w:r>
    </w:p>
    <w:p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по профилактике и противодействию коррупции в</w:t>
      </w:r>
    </w:p>
    <w:p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Департаменте образования и науки Чукотского автономного округа</w:t>
      </w:r>
    </w:p>
    <w:p>
      <w:pPr>
        <w:pStyle w:val="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__________________________________________________________________________</w:t>
      </w:r>
    </w:p>
    <w:p>
      <w:pPr>
        <w:pStyle w:val="Normal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cs="Times New Roman" w:ascii="Times New Roman" w:hAnsi="Times New Roman"/>
          <w:sz w:val="24"/>
          <w:szCs w:val="24"/>
          <w:vertAlign w:val="superscript"/>
        </w:rPr>
        <w:t>(наименование органа власти)</w:t>
      </w:r>
    </w:p>
    <w:p>
      <w:pPr>
        <w:pStyle w:val="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во 2 квартале 2025 года</w:t>
      </w:r>
    </w:p>
    <w:tbl>
      <w:tblPr>
        <w:tblW w:w="14665" w:type="dxa"/>
        <w:jc w:val="left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firstRow="1" w:noVBand="1" w:lastRow="0" w:firstColumn="1" w:lastColumn="0" w:noHBand="0" w:val="04a0"/>
      </w:tblPr>
      <w:tblGrid>
        <w:gridCol w:w="715"/>
        <w:gridCol w:w="56"/>
        <w:gridCol w:w="7655"/>
        <w:gridCol w:w="53"/>
        <w:gridCol w:w="2073"/>
        <w:gridCol w:w="4112"/>
      </w:tblGrid>
      <w:tr>
        <w:trPr>
          <w:trHeight w:val="166" w:hRule="atLeast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28" w:before="0" w:after="160"/>
              <w:jc w:val="center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pacing w:val="-4"/>
                <w:sz w:val="24"/>
                <w:szCs w:val="24"/>
              </w:rPr>
              <w:t xml:space="preserve">№ </w:t>
            </w:r>
            <w:r>
              <w:rPr>
                <w:rFonts w:cs="Times New Roman" w:ascii="Times New Roman" w:hAnsi="Times New Roman"/>
                <w:b/>
                <w:spacing w:val="-4"/>
                <w:sz w:val="24"/>
                <w:szCs w:val="24"/>
              </w:rPr>
              <w:br/>
              <w:t>п/п</w:t>
            </w:r>
          </w:p>
        </w:tc>
        <w:tc>
          <w:tcPr>
            <w:tcW w:w="77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28" w:before="0" w:after="160"/>
              <w:jc w:val="center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pacing w:val="-4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28" w:before="0" w:after="160"/>
              <w:jc w:val="center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pacing w:val="-4"/>
                <w:sz w:val="24"/>
                <w:szCs w:val="24"/>
              </w:rPr>
              <w:t>Сроки исполнения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28" w:before="0" w:after="160"/>
              <w:jc w:val="center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pacing w:val="-4"/>
                <w:sz w:val="24"/>
                <w:szCs w:val="24"/>
              </w:rPr>
              <w:t>Сведения об исполнении</w:t>
            </w:r>
          </w:p>
        </w:tc>
      </w:tr>
      <w:tr>
        <w:trPr>
          <w:trHeight w:val="177" w:hRule="atLeast"/>
        </w:trPr>
        <w:tc>
          <w:tcPr>
            <w:tcW w:w="146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28" w:before="0" w:after="160"/>
              <w:jc w:val="center"/>
              <w:outlineLvl w:val="0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pacing w:val="-4"/>
                <w:sz w:val="24"/>
                <w:szCs w:val="24"/>
              </w:rPr>
              <w:t>1. Организационное и правовое обеспечение реализации антикоррупционных мер</w:t>
            </w:r>
          </w:p>
        </w:tc>
      </w:tr>
      <w:tr>
        <w:trPr>
          <w:trHeight w:val="127" w:hRule="atLeast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28" w:before="0" w:after="160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pacing w:val="-4"/>
                <w:sz w:val="24"/>
                <w:szCs w:val="24"/>
              </w:rPr>
              <w:t>1.1</w:t>
            </w:r>
          </w:p>
        </w:tc>
        <w:tc>
          <w:tcPr>
            <w:tcW w:w="77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ind w:right="140" w:hang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pacing w:val="-4"/>
                <w:sz w:val="24"/>
                <w:szCs w:val="24"/>
              </w:rPr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pacing w:val="-4"/>
                <w:sz w:val="24"/>
                <w:szCs w:val="24"/>
              </w:rPr>
            </w:r>
          </w:p>
        </w:tc>
      </w:tr>
      <w:tr>
        <w:trPr>
          <w:trHeight w:val="157" w:hRule="atLeast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28" w:before="0" w:after="160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pacing w:val="-4"/>
                <w:sz w:val="24"/>
                <w:szCs w:val="24"/>
              </w:rPr>
              <w:t>1.1.1</w:t>
            </w:r>
          </w:p>
        </w:tc>
        <w:tc>
          <w:tcPr>
            <w:tcW w:w="77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ind w:right="140" w:hang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157" w:hRule="atLeast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28" w:before="0" w:after="160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pacing w:val="-4"/>
                <w:sz w:val="24"/>
                <w:szCs w:val="24"/>
              </w:rPr>
              <w:t>1.1.3.</w:t>
            </w:r>
          </w:p>
        </w:tc>
        <w:tc>
          <w:tcPr>
            <w:tcW w:w="77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ind w:right="140" w:hang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Информация о ходе реализации мероприятий ведомственного плана по противодействию коррупции рассмотрена на заседании Общественного совета при Департаменте 19 мая 2025 года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19.05.2025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18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hyperlink r:id="rId2">
              <w:r>
                <w:rPr>
                  <w:rStyle w:val="-"/>
                  <w:rFonts w:cs="Times New Roman" w:ascii="Times New Roman" w:hAnsi="Times New Roman"/>
                  <w:sz w:val="24"/>
                  <w:szCs w:val="24"/>
                </w:rPr>
                <w:t>https://чукотка.рф/depobr/documents/obshchestvennyy-sovet-pri-departamente-obrazovaniya/</w:t>
              </w:r>
            </w:hyperlink>
          </w:p>
          <w:p>
            <w:pPr>
              <w:pStyle w:val="Normal"/>
              <w:widowControl w:val="false"/>
              <w:tabs>
                <w:tab w:val="clear" w:pos="708"/>
                <w:tab w:val="left" w:pos="1185" w:leader="none"/>
              </w:tabs>
              <w:spacing w:before="0" w:after="16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highlight w:val="yellow"/>
              </w:rPr>
            </w:r>
          </w:p>
        </w:tc>
      </w:tr>
      <w:tr>
        <w:trPr>
          <w:trHeight w:val="157" w:hRule="atLeast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28" w:before="0" w:after="160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pacing w:val="-4"/>
                <w:sz w:val="24"/>
                <w:szCs w:val="24"/>
              </w:rPr>
            </w:r>
          </w:p>
        </w:tc>
        <w:tc>
          <w:tcPr>
            <w:tcW w:w="77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 xml:space="preserve">Информация о ходе реализации мероприятий ведомственного плана по противодействию коррупции рассмотрена на заседании комиссии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Комиссия по соблюдению требований к служебному поведению и урегулированию конфликта интересов 30 июня 2025 года</w:t>
            </w:r>
          </w:p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30.06.2025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18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hyperlink r:id="rId3">
              <w:r>
                <w:rPr>
                  <w:rStyle w:val="-"/>
                  <w:rFonts w:cs="Times New Roman" w:ascii="Times New Roman" w:hAnsi="Times New Roman"/>
                  <w:sz w:val="24"/>
                  <w:szCs w:val="24"/>
                </w:rPr>
                <w:t>https://чукотка.рф/depobr/protivodeystvie-korruptsii/komissiya-po-soblyudeniyu-treb/svedeniya-o-planiruemom-provedenii-zasedaniya-komissii.php</w:t>
              </w:r>
            </w:hyperlink>
          </w:p>
          <w:p>
            <w:pPr>
              <w:pStyle w:val="Normal"/>
              <w:widowControl w:val="false"/>
              <w:tabs>
                <w:tab w:val="clear" w:pos="708"/>
                <w:tab w:val="left" w:pos="1185" w:leader="none"/>
              </w:tabs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157" w:hRule="atLeast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28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pacing w:val="-4"/>
                <w:sz w:val="24"/>
                <w:szCs w:val="24"/>
              </w:rPr>
              <w:t>1.1.4</w:t>
            </w:r>
          </w:p>
          <w:p>
            <w:pPr>
              <w:pStyle w:val="Normal"/>
              <w:widowControl w:val="false"/>
              <w:spacing w:lineRule="auto" w:line="228" w:before="0" w:after="160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pacing w:val="-4"/>
                <w:sz w:val="24"/>
                <w:szCs w:val="24"/>
              </w:rPr>
            </w:r>
          </w:p>
        </w:tc>
        <w:tc>
          <w:tcPr>
            <w:tcW w:w="77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 xml:space="preserve">размещение отчета о реализации мероприятий </w:t>
            </w:r>
            <w:r>
              <w:rPr>
                <w:rFonts w:eastAsia="Calibri" w:cs="Times New Roman" w:ascii="Times New Roman" w:hAnsi="Times New Roman"/>
                <w:bCs/>
                <w:iCs/>
                <w:sz w:val="24"/>
                <w:szCs w:val="24"/>
              </w:rPr>
              <w:t xml:space="preserve">ведомственного плана на </w:t>
            </w: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официальном сайте Чукотского автономного округа в информационно-телекоммуникационной сети «Интернет»: чукотка.рф в разделе «Департамент образования и науки Чукотского автономного округа»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02.07.2025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18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hyperlink r:id="rId4">
              <w:r>
                <w:rPr>
                  <w:rStyle w:val="-"/>
                  <w:rFonts w:cs="Times New Roman" w:ascii="Times New Roman" w:hAnsi="Times New Roman"/>
                  <w:sz w:val="24"/>
                  <w:szCs w:val="24"/>
                </w:rPr>
                <w:t>https://чукотка.рф/depobr/protivodeystvie-korruptsii/doklady-otchety-obzory-statisticheskaya-informatsiya.php</w:t>
              </w:r>
            </w:hyperlink>
          </w:p>
          <w:p>
            <w:pPr>
              <w:pStyle w:val="Normal"/>
              <w:widowControl w:val="false"/>
              <w:tabs>
                <w:tab w:val="clear" w:pos="708"/>
                <w:tab w:val="left" w:pos="1185" w:leader="none"/>
              </w:tabs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52" w:hRule="atLeast"/>
        </w:trPr>
        <w:tc>
          <w:tcPr>
            <w:tcW w:w="146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2. Совершенствование кадровой работы в системе мер по профилактике и противодействию коррупции</w:t>
            </w:r>
          </w:p>
        </w:tc>
      </w:tr>
      <w:tr>
        <w:trPr/>
        <w:tc>
          <w:tcPr>
            <w:tcW w:w="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28" w:before="0" w:after="160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pacing w:val="-4"/>
                <w:sz w:val="24"/>
                <w:szCs w:val="24"/>
              </w:rPr>
              <w:t>2.1.1.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доведение до лиц, впервые поступивших на государственную службу, установленных законодательством Российской Федерации о противодействии коррупции требований, ограничений, запретов, обязанностей, а также ответственности за их нарушение и (или) неисполнение;</w:t>
            </w:r>
          </w:p>
          <w:p>
            <w:pPr>
              <w:pStyle w:val="Normal"/>
              <w:widowControl w:val="false"/>
              <w:spacing w:lineRule="auto" w:line="228" w:before="0" w:after="160"/>
              <w:jc w:val="center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pacing w:val="-4"/>
                <w:sz w:val="24"/>
                <w:szCs w:val="24"/>
              </w:rPr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28" w:before="0" w:after="160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pacing w:val="-4"/>
                <w:sz w:val="24"/>
                <w:szCs w:val="24"/>
              </w:rPr>
              <w:t>2 квартал 2025 года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Во втором квартале 2025 года проведен анализ личных дел в отношении трех государственных гражданских служащих, принятых на государственную гражданскую службу в Департамент.</w:t>
            </w:r>
          </w:p>
          <w:p>
            <w:pPr>
              <w:pStyle w:val="Normal"/>
              <w:widowControl w:val="false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 целях проведения анализа личных дел, вновь принятых государственных гражданских служащих Департамента образования и науки Чукотского автономного округа на предмет выявления конфликта интересов, было проведено изучение данных о прошлых местах работы, данных о родственниках, местах их работы, анализ сведений о доходах, расходах, об имуществе и обязательствах имущественного характера.</w:t>
            </w:r>
          </w:p>
          <w:p>
            <w:pPr>
              <w:pStyle w:val="Normal"/>
              <w:widowControl w:val="false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При анализе личных дел конфликт интересов не выявлен.</w:t>
            </w:r>
          </w:p>
          <w:p>
            <w:pPr>
              <w:pStyle w:val="Normal"/>
              <w:widowControl w:val="false"/>
              <w:spacing w:lineRule="auto" w:line="228" w:before="0" w:after="160"/>
              <w:jc w:val="center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pacing w:val="-4"/>
                <w:sz w:val="24"/>
                <w:szCs w:val="24"/>
              </w:rPr>
            </w:r>
          </w:p>
        </w:tc>
      </w:tr>
      <w:tr>
        <w:trPr/>
        <w:tc>
          <w:tcPr>
            <w:tcW w:w="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28" w:before="0" w:after="160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pacing w:val="-4"/>
                <w:sz w:val="24"/>
                <w:szCs w:val="24"/>
              </w:rPr>
              <w:t>2.2.4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eastAsia="Calibri" w:cs="Times New Roman"/>
                <w:spacing w:val="-4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pacing w:val="-4"/>
                <w:sz w:val="24"/>
                <w:szCs w:val="24"/>
              </w:rPr>
              <w:t>организация работы по уведомлению государственными служащими представителя нанимателя о намерении выполнять иную оплачиваемую работу;</w:t>
            </w:r>
          </w:p>
          <w:p>
            <w:pPr>
              <w:pStyle w:val="Normal"/>
              <w:widowControl w:val="false"/>
              <w:spacing w:lineRule="auto" w:line="228" w:before="0" w:after="160"/>
              <w:jc w:val="center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pacing w:val="-4"/>
                <w:sz w:val="24"/>
                <w:szCs w:val="24"/>
              </w:rPr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28" w:before="0" w:after="160"/>
              <w:jc w:val="center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pacing w:val="-4"/>
                <w:sz w:val="24"/>
                <w:szCs w:val="24"/>
              </w:rPr>
              <w:t>2 квартал 2025 года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eastAsia="Calibri" w:cs="Times New Roman"/>
                <w:spacing w:val="-4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pacing w:val="-4"/>
                <w:sz w:val="24"/>
                <w:szCs w:val="24"/>
              </w:rPr>
              <w:t xml:space="preserve">Во 2 квартале 2025 года поступило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11 уведомлений от 11 государственных служащих. Рассмотрение уведомлений о намерении выполнять иную оплачиваемую работу на заседании Комиссии по соблюдению требований к служебному поведению в отношении 11 государственных гражданских служащих Департамента не требовалось.</w:t>
            </w:r>
          </w:p>
          <w:p>
            <w:pPr>
              <w:pStyle w:val="Normal"/>
              <w:widowControl w:val="false"/>
              <w:spacing w:lineRule="auto" w:line="228" w:before="0" w:after="160"/>
              <w:jc w:val="center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pacing w:val="-4"/>
                <w:sz w:val="24"/>
                <w:szCs w:val="24"/>
              </w:rPr>
            </w:r>
          </w:p>
        </w:tc>
      </w:tr>
      <w:tr>
        <w:trPr/>
        <w:tc>
          <w:tcPr>
            <w:tcW w:w="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28" w:before="0" w:after="160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pacing w:val="-4"/>
                <w:sz w:val="24"/>
                <w:szCs w:val="24"/>
              </w:rPr>
              <w:t>2.3.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28" w:before="0" w:after="160"/>
              <w:jc w:val="both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pacing w:val="-2"/>
                <w:sz w:val="24"/>
                <w:szCs w:val="24"/>
              </w:rPr>
              <w:t>Контроль соблюдения гражданами, замещавшими должности государственной службы, ограничений, при заключении ими трудового или гражданско-правового договора, в случаях, предусмотренных федеральным законодательством;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28" w:before="0" w:after="160"/>
              <w:jc w:val="center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pacing w:val="-4"/>
                <w:sz w:val="24"/>
                <w:szCs w:val="24"/>
              </w:rPr>
              <w:t>2 квартал 2025 года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59" w:hang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 основании поступившего уведомления проректора по стратегическому развитию Федерального государственного бюджетного образовательного учреждения высшего образования Министерства сельского хозяйства Российской Федерации «Российский государственный университет народного хозяйства имени В.И. Вернадского» о заключении с Дашко Валерием Александровичем, бывшим государственным гражданским служащим Департамента, трудового договора, было вынесено Мотивированное заключение о том, что оснований для рассмотрения данного уведомления на Комиссии по соблюдению требований к служебному поведению государственных гражданских служащих Департамента образования и науки Чукотского автономного округа, руководителей государственных образовательных организаций Чукотского автономного округа, находящихся в ведомственном подчинении Департамента образования и науки Чукотского автономного округа, и урегулированию конфликта интересов, не требуется. В адрес проректора по стратегическому развитию Федерального государственного бюджетного образовательного учреждения высшего образования Министерства сельского хозяйства Российской Федерации «Российский государственный университет народного хозяйства имени В.И. Вернадского» 3 июня 2025 года (исх. № 03-2/3171) было направлено соответствующее письмо.</w:t>
            </w:r>
          </w:p>
          <w:p>
            <w:pPr>
              <w:pStyle w:val="Normal"/>
              <w:widowControl w:val="false"/>
              <w:spacing w:lineRule="auto" w:line="228" w:before="0" w:after="160"/>
              <w:jc w:val="center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pacing w:val="-4"/>
                <w:sz w:val="24"/>
                <w:szCs w:val="24"/>
              </w:rPr>
            </w:r>
          </w:p>
        </w:tc>
      </w:tr>
      <w:tr>
        <w:trPr/>
        <w:tc>
          <w:tcPr>
            <w:tcW w:w="146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28" w:before="0" w:after="160"/>
              <w:jc w:val="center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pacing w:val="-4"/>
                <w:sz w:val="24"/>
                <w:szCs w:val="24"/>
              </w:rPr>
              <w:t>3. Совершенствование нормативной правовой базы Чукотского автономного округа</w:t>
            </w:r>
          </w:p>
        </w:tc>
      </w:tr>
      <w:tr>
        <w:trPr>
          <w:trHeight w:val="271" w:hRule="atLeast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28" w:before="0" w:after="160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pacing w:val="-4"/>
                <w:sz w:val="24"/>
                <w:szCs w:val="24"/>
              </w:rPr>
            </w:r>
          </w:p>
        </w:tc>
        <w:tc>
          <w:tcPr>
            <w:tcW w:w="77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ind w:right="140" w:hang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28" w:before="0" w:after="16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highlight w:val="yellow"/>
              </w:rPr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28"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92" w:hRule="atLeast"/>
        </w:trPr>
        <w:tc>
          <w:tcPr>
            <w:tcW w:w="146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28" w:before="0" w:after="160"/>
              <w:jc w:val="center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pacing w:val="-4"/>
                <w:sz w:val="24"/>
                <w:szCs w:val="24"/>
              </w:rPr>
              <w:t>4. </w:t>
            </w: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Противодействие коррупции в основных коррупционноопасных сферах деятельности</w:t>
            </w:r>
          </w:p>
        </w:tc>
      </w:tr>
      <w:tr>
        <w:trPr>
          <w:trHeight w:val="273" w:hRule="atLeast"/>
        </w:trPr>
        <w:tc>
          <w:tcPr>
            <w:tcW w:w="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28" w:before="0" w:after="160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pacing w:val="-4"/>
                <w:sz w:val="24"/>
                <w:szCs w:val="24"/>
              </w:rPr>
              <w:t>4.1.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28" w:before="0" w:after="160"/>
              <w:jc w:val="both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pacing w:val="-4"/>
                <w:sz w:val="24"/>
                <w:szCs w:val="24"/>
              </w:rPr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28" w:before="0" w:after="160"/>
              <w:jc w:val="center"/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pacing w:val="-4"/>
                <w:sz w:val="24"/>
                <w:szCs w:val="24"/>
              </w:rPr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28" w:before="0" w:after="160"/>
              <w:jc w:val="center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pacing w:val="-4"/>
                <w:sz w:val="24"/>
                <w:szCs w:val="24"/>
              </w:rPr>
            </w:r>
          </w:p>
        </w:tc>
      </w:tr>
      <w:tr>
        <w:trPr>
          <w:trHeight w:val="273" w:hRule="atLeast"/>
        </w:trPr>
        <w:tc>
          <w:tcPr>
            <w:tcW w:w="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28" w:before="0" w:after="160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pacing w:val="-4"/>
                <w:sz w:val="24"/>
                <w:szCs w:val="24"/>
              </w:rPr>
              <w:t>4.2.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28" w:before="0" w:after="160"/>
              <w:jc w:val="center"/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pacing w:val="-4"/>
                <w:sz w:val="24"/>
                <w:szCs w:val="24"/>
              </w:rPr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28"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73" w:hRule="atLeast"/>
        </w:trPr>
        <w:tc>
          <w:tcPr>
            <w:tcW w:w="146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28" w:before="0" w:after="160"/>
              <w:jc w:val="center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pacing w:val="-4"/>
                <w:sz w:val="24"/>
                <w:szCs w:val="24"/>
              </w:rPr>
              <w:t>5. Межведомственное и межуровневое взаимодействие в сфере профилактики и противодействия коррупции</w:t>
            </w:r>
          </w:p>
        </w:tc>
      </w:tr>
      <w:tr>
        <w:trPr>
          <w:trHeight w:val="13" w:hRule="atLeast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28" w:before="0" w:after="160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pacing w:val="-4"/>
                <w:sz w:val="24"/>
                <w:szCs w:val="24"/>
              </w:rPr>
              <w:t>5.8</w:t>
            </w:r>
          </w:p>
        </w:tc>
        <w:tc>
          <w:tcPr>
            <w:tcW w:w="77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ind w:right="140" w:hang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70" w:hRule="atLeast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pacing w:val="-4"/>
                <w:sz w:val="24"/>
                <w:szCs w:val="24"/>
              </w:rPr>
              <w:t>5.9</w:t>
            </w:r>
          </w:p>
        </w:tc>
        <w:tc>
          <w:tcPr>
            <w:tcW w:w="77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ind w:right="140" w:hang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28" w:before="0" w:after="160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pacing w:val="-4"/>
                <w:sz w:val="24"/>
                <w:szCs w:val="24"/>
              </w:rPr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pacing w:val="-4"/>
                <w:sz w:val="24"/>
                <w:szCs w:val="24"/>
              </w:rPr>
            </w:r>
          </w:p>
        </w:tc>
      </w:tr>
      <w:tr>
        <w:trPr/>
        <w:tc>
          <w:tcPr>
            <w:tcW w:w="146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28" w:before="0" w:after="160"/>
              <w:jc w:val="center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pacing w:val="-4"/>
                <w:sz w:val="24"/>
                <w:szCs w:val="24"/>
              </w:rPr>
              <w:t>6. Антикоррупционное просвещение,</w:t>
            </w: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 xml:space="preserve"> взаимодействие с населением и структурами гражданского общества</w:t>
            </w:r>
          </w:p>
        </w:tc>
      </w:tr>
      <w:tr>
        <w:trPr>
          <w:trHeight w:val="13" w:hRule="atLeast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28"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6.2.1.</w:t>
            </w:r>
          </w:p>
        </w:tc>
        <w:tc>
          <w:tcPr>
            <w:tcW w:w="77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Состоялось заседание Общественного совета при Департаменте, на котором был рассмотрен вопрос: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Об исполнении мероприятий, направленных на профилактику </w:t>
              <w:br/>
              <w:t xml:space="preserve">и противодействие коррупции в Департаменте образования и науки Чукотского автономного округа и образовательных организациях Чукотского автономного округа находящиеся в ведомственном подчинении Департамента в 1 полугодии </w:t>
              <w:br/>
              <w:t>2025 года.</w:t>
            </w:r>
          </w:p>
          <w:p>
            <w:pPr>
              <w:pStyle w:val="NoSpacing"/>
              <w:widowControl w:val="false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28"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19.05.2025 года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185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hyperlink r:id="rId5">
              <w:r>
                <w:rPr>
                  <w:rStyle w:val="-"/>
                  <w:rFonts w:cs="Times New Roman" w:ascii="Times New Roman" w:hAnsi="Times New Roman"/>
                  <w:sz w:val="24"/>
                  <w:szCs w:val="24"/>
                </w:rPr>
                <w:t>https://чукотка.рф/depobr/documents/obshchestvennyy-sovet-pri-departamente-obrazovaniya/</w:t>
              </w:r>
            </w:hyperlink>
          </w:p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13" w:hRule="atLeast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28"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7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895" w:leader="none"/>
              </w:tabs>
              <w:spacing w:before="0" w:after="16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28"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13" w:hRule="atLeast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28"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7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28"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</w:tbl>
    <w:p>
      <w:pPr>
        <w:pStyle w:val="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Spacing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/>
      </w:r>
    </w:p>
    <w:sectPr>
      <w:type w:val="nextPage"/>
      <w:pgSz w:orient="landscape" w:w="16838" w:h="11906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Calibri Light">
    <w:charset w:val="cc"/>
    <w:family w:val="roman"/>
    <w:pitch w:val="variable"/>
  </w:font>
  <w:font w:name="Segoe UI">
    <w:charset w:val="cc"/>
    <w:family w:val="roman"/>
    <w:pitch w:val="variable"/>
  </w:font>
  <w:font w:name="XO Thames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Arial">
    <w:charset w:val="cc"/>
    <w:family w:val="roman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4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522a64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next w:val="Normal"/>
    <w:link w:val="11"/>
    <w:uiPriority w:val="9"/>
    <w:qFormat/>
    <w:rsid w:val="00e15934"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8" w:customStyle="1">
    <w:name w:val="Текст выноски Знак"/>
    <w:basedOn w:val="DefaultParagraphFont"/>
    <w:link w:val="BalloonText"/>
    <w:uiPriority w:val="99"/>
    <w:semiHidden/>
    <w:qFormat/>
    <w:rsid w:val="0011267d"/>
    <w:rPr>
      <w:rFonts w:ascii="Segoe UI" w:hAnsi="Segoe UI" w:cs="Segoe UI"/>
      <w:sz w:val="18"/>
      <w:szCs w:val="18"/>
    </w:rPr>
  </w:style>
  <w:style w:type="character" w:styleId="-">
    <w:name w:val="Hyperlink"/>
    <w:basedOn w:val="DefaultParagraphFont"/>
    <w:uiPriority w:val="99"/>
    <w:unhideWhenUsed/>
    <w:rsid w:val="00244a7e"/>
    <w:rPr>
      <w:color w:val="0563C1" w:themeColor="hyperlink"/>
      <w:u w:val="single"/>
    </w:rPr>
  </w:style>
  <w:style w:type="character" w:styleId="UnresolvedMention" w:customStyle="1">
    <w:name w:val="Unresolved Mention"/>
    <w:basedOn w:val="DefaultParagraphFont"/>
    <w:uiPriority w:val="99"/>
    <w:semiHidden/>
    <w:unhideWhenUsed/>
    <w:qFormat/>
    <w:rsid w:val="00244a7e"/>
    <w:rPr>
      <w:color w:val="605E5C"/>
      <w:shd w:fill="E1DFDD" w:val="clear"/>
    </w:rPr>
  </w:style>
  <w:style w:type="character" w:styleId="11" w:customStyle="1">
    <w:name w:val="Заголовок 1 Знак"/>
    <w:basedOn w:val="DefaultParagraphFont"/>
    <w:uiPriority w:val="9"/>
    <w:qFormat/>
    <w:rsid w:val="00e15934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4" w:customStyle="1">
    <w:name w:val="Оглавление 4 Знак"/>
    <w:uiPriority w:val="39"/>
    <w:qFormat/>
    <w:rsid w:val="000b32ac"/>
    <w:rPr>
      <w:rFonts w:ascii="XO Thames" w:hAnsi="XO Thames" w:eastAsia="Times New Roman" w:cs="Times New Roman"/>
      <w:color w:val="000000"/>
      <w:sz w:val="28"/>
      <w:szCs w:val="20"/>
      <w:lang w:eastAsia="ru-RU"/>
    </w:rPr>
  </w:style>
  <w:style w:type="character" w:styleId="Style9" w:customStyle="1">
    <w:name w:val="Без интервала Знак"/>
    <w:link w:val="NoSpacing"/>
    <w:uiPriority w:val="1"/>
    <w:qFormat/>
    <w:rsid w:val="00d2700e"/>
    <w:rPr/>
  </w:style>
  <w:style w:type="character" w:styleId="Style10">
    <w:name w:val="FollowedHyperlink"/>
    <w:rPr>
      <w:color w:val="800000"/>
      <w:u w:val="single"/>
    </w:rPr>
  </w:style>
  <w:style w:type="paragraph" w:styleId="Style11">
    <w:name w:val="Заголовок"/>
    <w:basedOn w:val="Normal"/>
    <w:next w:val="Style12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2">
    <w:name w:val="Body Text"/>
    <w:basedOn w:val="Normal"/>
    <w:pPr>
      <w:spacing w:lineRule="auto" w:line="276" w:before="0" w:after="140"/>
    </w:pPr>
    <w:rPr/>
  </w:style>
  <w:style w:type="paragraph" w:styleId="Style13">
    <w:name w:val="List"/>
    <w:basedOn w:val="Style12"/>
    <w:pPr/>
    <w:rPr>
      <w:rFonts w:cs="Arial"/>
    </w:rPr>
  </w:style>
  <w:style w:type="paragraph" w:styleId="Style14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  <w:style w:type="paragraph" w:styleId="ConsPlusNormal" w:customStyle="1">
    <w:name w:val="ConsPlusNormal"/>
    <w:qFormat/>
    <w:rsid w:val="00d80477"/>
    <w:pPr>
      <w:widowControl/>
      <w:bidi w:val="0"/>
      <w:spacing w:lineRule="auto" w:line="240"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eastAsia="ru-RU" w:val="ru-RU" w:bidi="ar-SA"/>
    </w:rPr>
  </w:style>
  <w:style w:type="paragraph" w:styleId="BalloonText">
    <w:name w:val="Balloon Text"/>
    <w:basedOn w:val="Normal"/>
    <w:link w:val="Style8"/>
    <w:uiPriority w:val="99"/>
    <w:semiHidden/>
    <w:unhideWhenUsed/>
    <w:qFormat/>
    <w:rsid w:val="0011267d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NoSpacing">
    <w:name w:val="No Spacing"/>
    <w:link w:val="Style9"/>
    <w:uiPriority w:val="1"/>
    <w:qFormat/>
    <w:rsid w:val="007e0266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41">
    <w:name w:val="TOC 4"/>
    <w:next w:val="Normal"/>
    <w:link w:val="4"/>
    <w:uiPriority w:val="39"/>
    <w:rsid w:val="000b32ac"/>
    <w:pPr>
      <w:widowControl/>
      <w:bidi w:val="0"/>
      <w:spacing w:lineRule="auto" w:line="240" w:before="0" w:after="0"/>
      <w:ind w:left="600" w:hanging="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eastAsia="ru-RU" w:val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3b48a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&#1095;&#1091;&#1082;&#1086;&#1090;&#1082;&#1072;.&#1088;&#1092;/depobr/documents/obshchestvennyy-sovet-pri-departamente-obrazovaniya/" TargetMode="External"/><Relationship Id="rId3" Type="http://schemas.openxmlformats.org/officeDocument/2006/relationships/hyperlink" Target="https://&#1095;&#1091;&#1082;&#1086;&#1090;&#1082;&#1072;.&#1088;&#1092;/depobr/protivodeystvie-korruptsii/komissiya-po-soblyudeniyu-treb/svedeniya-o-planiruemom-provedenii-zasedaniya-komissii.php" TargetMode="External"/><Relationship Id="rId4" Type="http://schemas.openxmlformats.org/officeDocument/2006/relationships/hyperlink" Target="https://&#1095;&#1091;&#1082;&#1086;&#1090;&#1082;&#1072;.&#1088;&#1092;/depobr/protivodeystvie-korruptsii/doklady-otchety-obzory-statisticheskaya-informatsiya.php" TargetMode="External"/><Relationship Id="rId5" Type="http://schemas.openxmlformats.org/officeDocument/2006/relationships/hyperlink" Target="https://&#1095;&#1091;&#1082;&#1086;&#1090;&#1082;&#1072;.&#1088;&#1092;/depobr/documents/obshchestvennyy-sovet-pri-departamente-obrazovaniya/" TargetMode="Externa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Application>LibreOffice/7.5.0.3$Windows_X86_64 LibreOffice_project/c21113d003cd3efa8c53188764377a8272d9d6de</Application>
  <AppVersion>15.0000</AppVersion>
  <Pages>4</Pages>
  <Words>558</Words>
  <Characters>4784</Characters>
  <CharactersWithSpaces>5292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2023-12-25T10:31:00Z</dcterms:created>
  <dc:creator>Шивалина Альбина Александровна</dc:creator>
  <dc:description/>
  <dc:language>ru-RU</dc:language>
  <cp:lastModifiedBy/>
  <cp:lastPrinted>2023-12-25T21:58:00Z</cp:lastPrinted>
  <dcterms:modified xsi:type="dcterms:W3CDTF">2025-07-03T11:02:53Z</dcterms:modified>
  <cp:revision>41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