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AD" w:rsidRPr="00E630AD" w:rsidRDefault="00E630AD" w:rsidP="00E6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085" cy="701675"/>
            <wp:effectExtent l="0" t="0" r="0" b="317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AD" w:rsidRPr="00E630AD" w:rsidRDefault="00E630AD" w:rsidP="00E63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0AD" w:rsidRPr="00E630AD" w:rsidRDefault="00D91A88" w:rsidP="00E630A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ДЕПАРТАМЕНТ КУЛЬТУРЫ, СПОРТА И ТУРИЗМА</w:t>
      </w:r>
    </w:p>
    <w:p w:rsidR="00E630AD" w:rsidRPr="00E630AD" w:rsidRDefault="00E630AD" w:rsidP="00E630AD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E630AD">
        <w:rPr>
          <w:rFonts w:ascii="Times New Roman" w:hAnsi="Times New Roman"/>
          <w:b/>
          <w:sz w:val="24"/>
          <w:szCs w:val="24"/>
        </w:rPr>
        <w:t>ЧУКОТСКОГО АВТОНОМНОГО ОКРУГА</w:t>
      </w:r>
    </w:p>
    <w:p w:rsidR="00E630AD" w:rsidRPr="00E630AD" w:rsidRDefault="00E630AD" w:rsidP="00E630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14C53" w:rsidRPr="00011503" w:rsidRDefault="00114C53" w:rsidP="005501F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proofErr w:type="gramStart"/>
      <w:r w:rsidRPr="00011503">
        <w:rPr>
          <w:rFonts w:ascii="Times New Roman" w:hAnsi="Times New Roman"/>
          <w:b/>
          <w:sz w:val="26"/>
        </w:rPr>
        <w:t>П</w:t>
      </w:r>
      <w:proofErr w:type="gramEnd"/>
      <w:r w:rsidRPr="00011503">
        <w:rPr>
          <w:rFonts w:ascii="Times New Roman" w:hAnsi="Times New Roman"/>
          <w:b/>
          <w:sz w:val="26"/>
        </w:rPr>
        <w:t xml:space="preserve"> Р И К А З</w:t>
      </w:r>
    </w:p>
    <w:p w:rsidR="00114C53" w:rsidRDefault="00114C53" w:rsidP="005501FD">
      <w:pPr>
        <w:spacing w:after="0" w:line="240" w:lineRule="auto"/>
        <w:rPr>
          <w:rFonts w:ascii="Times New Roman" w:hAnsi="Times New Roman"/>
          <w:sz w:val="26"/>
        </w:rPr>
      </w:pPr>
    </w:p>
    <w:p w:rsidR="00C41F3C" w:rsidRPr="00011503" w:rsidRDefault="00C41F3C" w:rsidP="005501FD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9760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6"/>
        <w:gridCol w:w="2585"/>
        <w:gridCol w:w="489"/>
        <w:gridCol w:w="536"/>
        <w:gridCol w:w="1804"/>
        <w:gridCol w:w="3810"/>
      </w:tblGrid>
      <w:tr w:rsidR="00114C53" w:rsidRPr="00011503" w:rsidTr="004B19F5">
        <w:trPr>
          <w:trHeight w:val="1"/>
        </w:trPr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4C53" w:rsidRPr="00011503" w:rsidRDefault="00114C53" w:rsidP="001448E6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011503">
              <w:rPr>
                <w:rFonts w:ascii="Times New Roman" w:hAnsi="Times New Roman"/>
                <w:b/>
                <w:sz w:val="26"/>
              </w:rPr>
              <w:t>от</w:t>
            </w:r>
          </w:p>
        </w:tc>
        <w:tc>
          <w:tcPr>
            <w:tcW w:w="25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4C53" w:rsidRPr="00467291" w:rsidRDefault="00EF7465" w:rsidP="00D26060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30.12</w:t>
            </w:r>
            <w:r w:rsidR="00187CD2">
              <w:rPr>
                <w:rFonts w:ascii="Times New Roman" w:hAnsi="Times New Roman"/>
                <w:b/>
                <w:sz w:val="26"/>
              </w:rPr>
              <w:t>.2022</w:t>
            </w:r>
            <w:r w:rsidR="00114C53" w:rsidRPr="00467291">
              <w:rPr>
                <w:rFonts w:ascii="Times New Roman" w:hAnsi="Times New Roman"/>
                <w:b/>
                <w:sz w:val="26"/>
              </w:rPr>
              <w:t xml:space="preserve"> г.</w:t>
            </w:r>
          </w:p>
        </w:tc>
        <w:tc>
          <w:tcPr>
            <w:tcW w:w="4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4C53" w:rsidRPr="00467291" w:rsidRDefault="00114C53" w:rsidP="001448E6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4C53" w:rsidRPr="00467291" w:rsidRDefault="00114C53" w:rsidP="001448E6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291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80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4C53" w:rsidRPr="00467291" w:rsidRDefault="00FD2F71" w:rsidP="00EF7465">
            <w:pPr>
              <w:tabs>
                <w:tab w:val="left" w:pos="4153"/>
                <w:tab w:val="lef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7291">
              <w:rPr>
                <w:rFonts w:ascii="Times New Roman" w:hAnsi="Times New Roman"/>
                <w:b/>
                <w:sz w:val="26"/>
              </w:rPr>
              <w:t>01-1</w:t>
            </w:r>
            <w:r w:rsidR="006C3BF2" w:rsidRPr="00467291">
              <w:rPr>
                <w:rFonts w:ascii="Times New Roman" w:hAnsi="Times New Roman"/>
                <w:b/>
                <w:sz w:val="26"/>
              </w:rPr>
              <w:t>0</w:t>
            </w:r>
            <w:r w:rsidRPr="00467291">
              <w:rPr>
                <w:rFonts w:ascii="Times New Roman" w:hAnsi="Times New Roman"/>
                <w:b/>
                <w:sz w:val="26"/>
              </w:rPr>
              <w:t>/</w:t>
            </w:r>
            <w:r w:rsidR="00EF7465">
              <w:rPr>
                <w:rFonts w:ascii="Times New Roman" w:hAnsi="Times New Roman"/>
                <w:b/>
                <w:sz w:val="26"/>
              </w:rPr>
              <w:t>336</w:t>
            </w:r>
          </w:p>
        </w:tc>
        <w:tc>
          <w:tcPr>
            <w:tcW w:w="38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4C53" w:rsidRPr="00011503" w:rsidRDefault="00114C53" w:rsidP="001448E6">
            <w:pPr>
              <w:tabs>
                <w:tab w:val="left" w:pos="4153"/>
                <w:tab w:val="left" w:pos="830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503">
              <w:rPr>
                <w:rFonts w:ascii="Times New Roman" w:hAnsi="Times New Roman"/>
                <w:b/>
                <w:sz w:val="26"/>
              </w:rPr>
              <w:t>г. Анадырь</w:t>
            </w:r>
          </w:p>
        </w:tc>
      </w:tr>
    </w:tbl>
    <w:p w:rsidR="00114C53" w:rsidRDefault="00114C53" w:rsidP="005501FD">
      <w:pPr>
        <w:spacing w:after="0" w:line="240" w:lineRule="auto"/>
        <w:jc w:val="both"/>
        <w:rPr>
          <w:rFonts w:ascii="Times New Roman" w:hAnsi="Times New Roman"/>
          <w:sz w:val="25"/>
        </w:rPr>
      </w:pPr>
    </w:p>
    <w:p w:rsidR="00C41F3C" w:rsidRPr="00011503" w:rsidRDefault="00C41F3C" w:rsidP="005501FD">
      <w:pPr>
        <w:spacing w:after="0" w:line="240" w:lineRule="auto"/>
        <w:jc w:val="both"/>
        <w:rPr>
          <w:rFonts w:ascii="Times New Roman" w:hAnsi="Times New Roman"/>
          <w:sz w:val="25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13"/>
      </w:tblGrid>
      <w:tr w:rsidR="00114C53" w:rsidRPr="00D26060" w:rsidTr="001448E6">
        <w:trPr>
          <w:trHeight w:val="1"/>
        </w:trPr>
        <w:tc>
          <w:tcPr>
            <w:tcW w:w="5113" w:type="dxa"/>
            <w:shd w:val="clear" w:color="000000" w:fill="FFFFFF"/>
            <w:tcMar>
              <w:left w:w="108" w:type="dxa"/>
              <w:right w:w="108" w:type="dxa"/>
            </w:tcMar>
          </w:tcPr>
          <w:p w:rsidR="00114C53" w:rsidRPr="00D26060" w:rsidRDefault="00D26060" w:rsidP="00D91A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060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187CD2" w:rsidRPr="00187CD2">
              <w:rPr>
                <w:rFonts w:ascii="Times New Roman" w:eastAsia="Arial Unicode MS" w:hAnsi="Times New Roman"/>
                <w:sz w:val="26"/>
                <w:szCs w:val="26"/>
              </w:rPr>
              <w:t xml:space="preserve">ключевых показателей эффективности функционирования антимонопольного комплаенса </w:t>
            </w:r>
            <w:r w:rsidR="00187CD2">
              <w:rPr>
                <w:rFonts w:ascii="Times New Roman" w:eastAsia="Arial Unicode MS" w:hAnsi="Times New Roman"/>
                <w:sz w:val="26"/>
                <w:szCs w:val="26"/>
              </w:rPr>
              <w:t xml:space="preserve">и </w:t>
            </w:r>
            <w:r w:rsidRPr="00D26060">
              <w:rPr>
                <w:rFonts w:ascii="Times New Roman" w:hAnsi="Times New Roman"/>
                <w:sz w:val="26"/>
                <w:szCs w:val="26"/>
              </w:rPr>
              <w:t xml:space="preserve">Методики расчета ключевых показателей эффективности функционирования в </w:t>
            </w:r>
            <w:r w:rsidR="00D91A88">
              <w:rPr>
                <w:rFonts w:ascii="Times New Roman" w:hAnsi="Times New Roman"/>
                <w:sz w:val="26"/>
                <w:szCs w:val="26"/>
              </w:rPr>
              <w:t>Департаменте культуры, спорта и туризма</w:t>
            </w:r>
            <w:r w:rsidR="00B06929">
              <w:rPr>
                <w:rFonts w:ascii="Times New Roman" w:hAnsi="Times New Roman"/>
                <w:sz w:val="26"/>
                <w:szCs w:val="26"/>
              </w:rPr>
              <w:t xml:space="preserve"> Чукотского автономного округа</w:t>
            </w:r>
            <w:r w:rsidRPr="00D26060">
              <w:rPr>
                <w:rFonts w:ascii="Times New Roman" w:hAnsi="Times New Roman"/>
                <w:sz w:val="26"/>
                <w:szCs w:val="26"/>
              </w:rPr>
              <w:t xml:space="preserve"> антимонопольного комплаенса</w:t>
            </w:r>
            <w:r w:rsidR="0063084C">
              <w:rPr>
                <w:rFonts w:ascii="Times New Roman" w:hAnsi="Times New Roman"/>
                <w:sz w:val="26"/>
                <w:szCs w:val="26"/>
              </w:rPr>
              <w:t xml:space="preserve"> на 2023 год</w:t>
            </w:r>
          </w:p>
        </w:tc>
      </w:tr>
    </w:tbl>
    <w:p w:rsidR="00114C53" w:rsidRDefault="00114C53" w:rsidP="005501F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C41F3C" w:rsidRPr="00011503" w:rsidRDefault="00C41F3C" w:rsidP="005501F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14C53" w:rsidRPr="00187CD2" w:rsidRDefault="00187CD2" w:rsidP="00B042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7CD2">
        <w:rPr>
          <w:rFonts w:ascii="Times New Roman" w:eastAsia="Arial Unicode MS" w:hAnsi="Times New Roman"/>
          <w:sz w:val="26"/>
          <w:szCs w:val="26"/>
        </w:rPr>
        <w:t xml:space="preserve">Во исполнение </w:t>
      </w:r>
      <w:hyperlink r:id="rId7" w:history="1">
        <w:r w:rsidRPr="00187CD2">
          <w:rPr>
            <w:rFonts w:ascii="Times New Roman" w:eastAsia="StarSymbol" w:hAnsi="Times New Roman"/>
            <w:sz w:val="26"/>
            <w:szCs w:val="26"/>
          </w:rPr>
          <w:t>Указа</w:t>
        </w:r>
      </w:hyperlink>
      <w:r w:rsidRPr="00187CD2">
        <w:rPr>
          <w:rFonts w:ascii="Times New Roman" w:eastAsia="Arial Unicode MS" w:hAnsi="Times New Roman"/>
          <w:sz w:val="26"/>
          <w:szCs w:val="26"/>
        </w:rPr>
        <w:t xml:space="preserve"> Президента Российской Федерации от 21 декабря 2017 года № 618 «Об основных направлениях государственной политики по развитию конкуренции», а так же в соответствии с </w:t>
      </w:r>
      <w:r w:rsidR="008D5E6C">
        <w:rPr>
          <w:rFonts w:ascii="Times New Roman" w:eastAsia="Arial Unicode MS" w:hAnsi="Times New Roman"/>
          <w:sz w:val="26"/>
          <w:szCs w:val="26"/>
        </w:rPr>
        <w:t>Положением о</w:t>
      </w:r>
      <w:r w:rsidR="008D5E6C" w:rsidRPr="008D5E6C">
        <w:rPr>
          <w:rFonts w:ascii="Times New Roman" w:hAnsi="Times New Roman"/>
          <w:sz w:val="26"/>
          <w:szCs w:val="26"/>
        </w:rPr>
        <w:t>б организации системы внутреннего обеспечения соответствия требованиям антимонопольного законодательства в Департаменте культуры, спорта и туризма  Чукотского автономного округа</w:t>
      </w:r>
      <w:r w:rsidRPr="00187CD2">
        <w:rPr>
          <w:rFonts w:ascii="Times New Roman" w:eastAsia="Arial Unicode MS" w:hAnsi="Times New Roman"/>
          <w:sz w:val="26"/>
          <w:szCs w:val="26"/>
        </w:rPr>
        <w:t xml:space="preserve">, утвержденным приказом Департамента </w:t>
      </w:r>
      <w:r w:rsidR="008D5E6C">
        <w:rPr>
          <w:rFonts w:ascii="Times New Roman" w:eastAsia="Arial Unicode MS" w:hAnsi="Times New Roman"/>
          <w:sz w:val="26"/>
          <w:szCs w:val="26"/>
        </w:rPr>
        <w:t xml:space="preserve">культуры, </w:t>
      </w:r>
      <w:r w:rsidRPr="00187CD2">
        <w:rPr>
          <w:rFonts w:ascii="Times New Roman" w:eastAsia="Arial Unicode MS" w:hAnsi="Times New Roman"/>
          <w:sz w:val="26"/>
          <w:szCs w:val="26"/>
        </w:rPr>
        <w:t>спорта</w:t>
      </w:r>
      <w:r w:rsidR="008D5E6C">
        <w:rPr>
          <w:rFonts w:ascii="Times New Roman" w:eastAsia="Arial Unicode MS" w:hAnsi="Times New Roman"/>
          <w:sz w:val="26"/>
          <w:szCs w:val="26"/>
        </w:rPr>
        <w:t xml:space="preserve"> и туризма</w:t>
      </w:r>
      <w:r w:rsidRPr="00187CD2">
        <w:rPr>
          <w:rFonts w:ascii="Times New Roman" w:eastAsia="Arial Unicode MS" w:hAnsi="Times New Roman"/>
          <w:sz w:val="26"/>
          <w:szCs w:val="26"/>
        </w:rPr>
        <w:t xml:space="preserve">  Чукотского автономного округа от </w:t>
      </w:r>
      <w:r w:rsidR="008D5E6C">
        <w:rPr>
          <w:rFonts w:ascii="Times New Roman" w:eastAsia="Arial Unicode MS" w:hAnsi="Times New Roman"/>
          <w:sz w:val="26"/>
          <w:szCs w:val="26"/>
        </w:rPr>
        <w:t>30.12.202</w:t>
      </w:r>
      <w:r w:rsidR="00EF7465">
        <w:rPr>
          <w:rFonts w:ascii="Times New Roman" w:eastAsia="Arial Unicode MS" w:hAnsi="Times New Roman"/>
          <w:sz w:val="26"/>
          <w:szCs w:val="26"/>
        </w:rPr>
        <w:t>2</w:t>
      </w:r>
      <w:r w:rsidR="008D5E6C">
        <w:rPr>
          <w:rFonts w:ascii="Times New Roman" w:eastAsia="Arial Unicode MS" w:hAnsi="Times New Roman"/>
          <w:sz w:val="26"/>
          <w:szCs w:val="26"/>
        </w:rPr>
        <w:t xml:space="preserve"> года № 01-10/</w:t>
      </w:r>
      <w:r w:rsidR="00EF7465">
        <w:rPr>
          <w:rFonts w:ascii="Times New Roman" w:eastAsia="Arial Unicode MS" w:hAnsi="Times New Roman"/>
          <w:sz w:val="26"/>
          <w:szCs w:val="26"/>
        </w:rPr>
        <w:t>333</w:t>
      </w:r>
      <w:proofErr w:type="gramEnd"/>
      <w:r w:rsidRPr="00187CD2">
        <w:rPr>
          <w:rFonts w:ascii="Times New Roman" w:eastAsia="Arial Unicode MS" w:hAnsi="Times New Roman"/>
          <w:sz w:val="26"/>
          <w:szCs w:val="26"/>
        </w:rPr>
        <w:t xml:space="preserve"> (далее – Положение),</w:t>
      </w:r>
    </w:p>
    <w:p w:rsidR="00114C53" w:rsidRPr="00011503" w:rsidRDefault="00114C53" w:rsidP="005501F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14C53" w:rsidRPr="00011503" w:rsidRDefault="00114C53" w:rsidP="005501FD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011503">
        <w:rPr>
          <w:rFonts w:ascii="Times New Roman" w:hAnsi="Times New Roman"/>
          <w:b/>
          <w:sz w:val="26"/>
        </w:rPr>
        <w:t>ПРИКАЗЫВАЮ:</w:t>
      </w:r>
    </w:p>
    <w:p w:rsidR="00114C53" w:rsidRDefault="00114C53" w:rsidP="00550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1EE" w:rsidRPr="00011503" w:rsidRDefault="003A41EE" w:rsidP="00550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013" w:rsidRDefault="00114C53" w:rsidP="003A41E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1A88">
        <w:rPr>
          <w:rFonts w:ascii="Times New Roman" w:hAnsi="Times New Roman"/>
          <w:sz w:val="26"/>
          <w:szCs w:val="26"/>
        </w:rPr>
        <w:t>Утвердить</w:t>
      </w:r>
      <w:r w:rsidR="00886013">
        <w:rPr>
          <w:rFonts w:ascii="Times New Roman" w:hAnsi="Times New Roman"/>
          <w:sz w:val="26"/>
          <w:szCs w:val="26"/>
        </w:rPr>
        <w:t>:</w:t>
      </w:r>
    </w:p>
    <w:p w:rsidR="00114C53" w:rsidRPr="00992A5A" w:rsidRDefault="00B06929" w:rsidP="00992A5A">
      <w:pPr>
        <w:pStyle w:val="a8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992A5A">
        <w:rPr>
          <w:rFonts w:ascii="Times New Roman" w:hAnsi="Times New Roman"/>
          <w:sz w:val="26"/>
          <w:szCs w:val="26"/>
        </w:rPr>
        <w:t xml:space="preserve">Методику расчета ключевых показателей эффективности функционирования в </w:t>
      </w:r>
      <w:r w:rsidR="00D91A88" w:rsidRPr="00992A5A">
        <w:rPr>
          <w:rFonts w:ascii="Times New Roman" w:hAnsi="Times New Roman"/>
          <w:sz w:val="26"/>
          <w:szCs w:val="26"/>
        </w:rPr>
        <w:t>Департаменте культуры, спорта и туризма</w:t>
      </w:r>
      <w:r w:rsidRPr="00992A5A">
        <w:rPr>
          <w:rFonts w:ascii="Times New Roman" w:hAnsi="Times New Roman"/>
          <w:sz w:val="26"/>
          <w:szCs w:val="26"/>
        </w:rPr>
        <w:t xml:space="preserve"> Чукотского автономного округа антимонопольного комплаенса </w:t>
      </w:r>
      <w:r w:rsidR="00886013" w:rsidRPr="00992A5A">
        <w:rPr>
          <w:rFonts w:ascii="Times New Roman" w:eastAsia="Arial Unicode MS" w:hAnsi="Times New Roman"/>
          <w:sz w:val="26"/>
          <w:szCs w:val="26"/>
        </w:rPr>
        <w:t>согласно приложению 1 к настоящему приказу;</w:t>
      </w:r>
    </w:p>
    <w:p w:rsidR="00886013" w:rsidRPr="00992A5A" w:rsidRDefault="00992A5A" w:rsidP="00992A5A">
      <w:pPr>
        <w:pStyle w:val="a8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A5A">
        <w:rPr>
          <w:rFonts w:ascii="Times New Roman" w:eastAsia="Arial Unicode MS" w:hAnsi="Times New Roman"/>
          <w:sz w:val="26"/>
          <w:szCs w:val="26"/>
        </w:rPr>
        <w:t>Ключевые показатели эффективности функционирования антимонопольного комплаенса в Департаменте культуры, спорта и туризма Чукотского автономного округа согласно приложению 2 к настоящему приказу.</w:t>
      </w:r>
    </w:p>
    <w:p w:rsidR="00D91A88" w:rsidRPr="00D91A88" w:rsidRDefault="003A41EE" w:rsidP="003A41E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</w:t>
      </w:r>
      <w:r w:rsidR="00D91A88" w:rsidRPr="00D91A88">
        <w:rPr>
          <w:rFonts w:ascii="Times New Roman" w:hAnsi="Times New Roman"/>
          <w:sz w:val="26"/>
          <w:szCs w:val="26"/>
        </w:rPr>
        <w:t xml:space="preserve"> силу приказ </w:t>
      </w:r>
      <w:r w:rsidR="00501464">
        <w:rPr>
          <w:rFonts w:ascii="Times New Roman" w:hAnsi="Times New Roman"/>
          <w:sz w:val="26"/>
          <w:szCs w:val="26"/>
        </w:rPr>
        <w:t>Департамента культуры, спорта и туризма</w:t>
      </w:r>
      <w:r w:rsidR="00D91A88">
        <w:rPr>
          <w:rFonts w:ascii="Times New Roman" w:hAnsi="Times New Roman"/>
          <w:sz w:val="26"/>
          <w:szCs w:val="26"/>
        </w:rPr>
        <w:t xml:space="preserve"> Чукотского автономного округа от </w:t>
      </w:r>
      <w:r w:rsidR="00B4366D">
        <w:rPr>
          <w:rFonts w:ascii="Times New Roman" w:hAnsi="Times New Roman"/>
          <w:sz w:val="26"/>
          <w:szCs w:val="26"/>
        </w:rPr>
        <w:t>15.04</w:t>
      </w:r>
      <w:bookmarkStart w:id="0" w:name="_GoBack"/>
      <w:bookmarkEnd w:id="0"/>
      <w:r w:rsidR="00EF7465">
        <w:rPr>
          <w:rFonts w:ascii="Times New Roman" w:hAnsi="Times New Roman"/>
          <w:sz w:val="26"/>
          <w:szCs w:val="26"/>
        </w:rPr>
        <w:t>.2022</w:t>
      </w:r>
      <w:r w:rsidR="00D91A88">
        <w:rPr>
          <w:rFonts w:ascii="Times New Roman" w:hAnsi="Times New Roman"/>
          <w:sz w:val="26"/>
          <w:szCs w:val="26"/>
        </w:rPr>
        <w:t>г.</w:t>
      </w:r>
      <w:r w:rsidR="00501464">
        <w:rPr>
          <w:rFonts w:ascii="Times New Roman" w:hAnsi="Times New Roman"/>
          <w:sz w:val="26"/>
          <w:szCs w:val="26"/>
        </w:rPr>
        <w:t xml:space="preserve"> №01-10/</w:t>
      </w:r>
      <w:r w:rsidR="00EF7465">
        <w:rPr>
          <w:rFonts w:ascii="Times New Roman" w:hAnsi="Times New Roman"/>
          <w:sz w:val="26"/>
          <w:szCs w:val="26"/>
        </w:rPr>
        <w:t>125/1</w:t>
      </w:r>
      <w:r w:rsidR="00D91A88" w:rsidRPr="00D91A88">
        <w:rPr>
          <w:rFonts w:ascii="Times New Roman" w:hAnsi="Times New Roman"/>
          <w:sz w:val="26"/>
          <w:szCs w:val="26"/>
        </w:rPr>
        <w:t xml:space="preserve"> «</w:t>
      </w:r>
      <w:r w:rsidR="00EF7465" w:rsidRPr="00D26060">
        <w:rPr>
          <w:rFonts w:ascii="Times New Roman" w:hAnsi="Times New Roman"/>
          <w:sz w:val="26"/>
          <w:szCs w:val="26"/>
        </w:rPr>
        <w:t xml:space="preserve">Об утверждении </w:t>
      </w:r>
      <w:r w:rsidR="00EF7465" w:rsidRPr="00187CD2">
        <w:rPr>
          <w:rFonts w:ascii="Times New Roman" w:eastAsia="Arial Unicode MS" w:hAnsi="Times New Roman"/>
          <w:sz w:val="26"/>
          <w:szCs w:val="26"/>
        </w:rPr>
        <w:t xml:space="preserve">ключевых показателей эффективности функционирования антимонопольного комплаенса </w:t>
      </w:r>
      <w:r w:rsidR="00EF7465">
        <w:rPr>
          <w:rFonts w:ascii="Times New Roman" w:eastAsia="Arial Unicode MS" w:hAnsi="Times New Roman"/>
          <w:sz w:val="26"/>
          <w:szCs w:val="26"/>
        </w:rPr>
        <w:t xml:space="preserve">и </w:t>
      </w:r>
      <w:r w:rsidR="00EF7465" w:rsidRPr="00D26060">
        <w:rPr>
          <w:rFonts w:ascii="Times New Roman" w:hAnsi="Times New Roman"/>
          <w:sz w:val="26"/>
          <w:szCs w:val="26"/>
        </w:rPr>
        <w:t xml:space="preserve">Методики расчета ключевых показателей эффективности функционирования в </w:t>
      </w:r>
      <w:r w:rsidR="00EF7465">
        <w:rPr>
          <w:rFonts w:ascii="Times New Roman" w:hAnsi="Times New Roman"/>
          <w:sz w:val="26"/>
          <w:szCs w:val="26"/>
        </w:rPr>
        <w:t>Департаменте культуры, спорта и туризма Чукотского автономного округа</w:t>
      </w:r>
      <w:r w:rsidR="00EF7465" w:rsidRPr="00D26060">
        <w:rPr>
          <w:rFonts w:ascii="Times New Roman" w:hAnsi="Times New Roman"/>
          <w:sz w:val="26"/>
          <w:szCs w:val="26"/>
        </w:rPr>
        <w:t xml:space="preserve"> антимонопольного комплаенса</w:t>
      </w:r>
      <w:r w:rsidR="00D91A88" w:rsidRPr="00D91A8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3A41EE" w:rsidRPr="003A41EE" w:rsidRDefault="003A41EE" w:rsidP="003A41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3A41EE">
        <w:rPr>
          <w:rFonts w:ascii="Times New Roman" w:hAnsi="Times New Roman"/>
          <w:sz w:val="26"/>
          <w:szCs w:val="26"/>
        </w:rPr>
        <w:t xml:space="preserve">Отделу правовой работы и государственной службы (Лугачёва О.Ю.)  </w:t>
      </w:r>
      <w:proofErr w:type="gramStart"/>
      <w:r w:rsidRPr="003A41EE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3A41EE">
        <w:rPr>
          <w:rFonts w:ascii="Times New Roman" w:hAnsi="Times New Roman"/>
          <w:sz w:val="26"/>
          <w:szCs w:val="26"/>
        </w:rPr>
        <w:t xml:space="preserve"> настоящий приказ на официальном сайте Чукотского автономного округа в сети Интернет на странице органа исполнительной власти.</w:t>
      </w:r>
    </w:p>
    <w:p w:rsidR="003A41EE" w:rsidRPr="003A41EE" w:rsidRDefault="003A41EE" w:rsidP="003A41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41E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3A41E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A41EE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114C53" w:rsidRPr="00011503" w:rsidRDefault="00114C53" w:rsidP="00550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4C53" w:rsidRDefault="00114C53" w:rsidP="005501F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11B1A" w:rsidRPr="00011503" w:rsidRDefault="00811B1A" w:rsidP="005501FD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A41EE" w:rsidRPr="003A41EE" w:rsidRDefault="00EF7465" w:rsidP="003A41E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3A41EE" w:rsidRPr="003A41EE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Департамента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01464">
        <w:rPr>
          <w:rFonts w:ascii="Times New Roman" w:hAnsi="Times New Roman"/>
          <w:sz w:val="26"/>
          <w:szCs w:val="26"/>
        </w:rPr>
        <w:t>Е.А. Тихомиров</w:t>
      </w:r>
    </w:p>
    <w:p w:rsidR="003D6855" w:rsidRDefault="003D6855" w:rsidP="0006222C">
      <w:pPr>
        <w:spacing w:after="0" w:line="240" w:lineRule="auto"/>
        <w:rPr>
          <w:rFonts w:ascii="Times New Roman" w:hAnsi="Times New Roman"/>
          <w:sz w:val="26"/>
        </w:rPr>
      </w:pPr>
    </w:p>
    <w:p w:rsidR="003D6855" w:rsidRDefault="003D6855" w:rsidP="0006222C">
      <w:pPr>
        <w:spacing w:after="0" w:line="240" w:lineRule="auto"/>
        <w:rPr>
          <w:rFonts w:ascii="Times New Roman" w:hAnsi="Times New Roman"/>
          <w:sz w:val="26"/>
        </w:rPr>
      </w:pPr>
    </w:p>
    <w:p w:rsidR="003D6855" w:rsidRDefault="003D6855" w:rsidP="0006222C">
      <w:pPr>
        <w:spacing w:after="0" w:line="240" w:lineRule="auto"/>
        <w:rPr>
          <w:rFonts w:ascii="Times New Roman" w:hAnsi="Times New Roman"/>
          <w:sz w:val="26"/>
        </w:rPr>
      </w:pPr>
    </w:p>
    <w:p w:rsidR="003D6855" w:rsidRDefault="003D6855" w:rsidP="0006222C">
      <w:pPr>
        <w:spacing w:after="0" w:line="240" w:lineRule="auto"/>
        <w:rPr>
          <w:rFonts w:ascii="Times New Roman" w:hAnsi="Times New Roman"/>
          <w:sz w:val="26"/>
        </w:rPr>
      </w:pPr>
    </w:p>
    <w:p w:rsidR="003D6855" w:rsidRDefault="003D6855" w:rsidP="0006222C">
      <w:pPr>
        <w:spacing w:after="0" w:line="240" w:lineRule="auto"/>
        <w:rPr>
          <w:rFonts w:ascii="Times New Roman" w:hAnsi="Times New Roman"/>
          <w:sz w:val="26"/>
        </w:rPr>
      </w:pPr>
    </w:p>
    <w:p w:rsidR="003D6855" w:rsidRDefault="003D6855" w:rsidP="0006222C">
      <w:pPr>
        <w:spacing w:after="0" w:line="240" w:lineRule="auto"/>
        <w:rPr>
          <w:rFonts w:ascii="Times New Roman" w:hAnsi="Times New Roman"/>
          <w:sz w:val="26"/>
        </w:rPr>
      </w:pPr>
    </w:p>
    <w:p w:rsidR="00114C53" w:rsidRPr="00011503" w:rsidRDefault="00114C53" w:rsidP="0006222C">
      <w:pPr>
        <w:spacing w:after="0" w:line="240" w:lineRule="auto"/>
        <w:rPr>
          <w:rFonts w:ascii="Times New Roman" w:hAnsi="Times New Roman"/>
          <w:sz w:val="26"/>
        </w:rPr>
      </w:pPr>
      <w:r w:rsidRPr="00011503">
        <w:rPr>
          <w:rFonts w:ascii="Times New Roman" w:hAnsi="Times New Roman"/>
          <w:sz w:val="26"/>
        </w:rPr>
        <w:br w:type="page"/>
      </w:r>
    </w:p>
    <w:p w:rsidR="00114C53" w:rsidRPr="00011503" w:rsidRDefault="00114C53" w:rsidP="0006222C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9996" w:type="dxa"/>
        <w:tblLook w:val="00A0" w:firstRow="1" w:lastRow="0" w:firstColumn="1" w:lastColumn="0" w:noHBand="0" w:noVBand="0"/>
      </w:tblPr>
      <w:tblGrid>
        <w:gridCol w:w="5211"/>
        <w:gridCol w:w="4785"/>
      </w:tblGrid>
      <w:tr w:rsidR="00114C53" w:rsidRPr="00011503" w:rsidTr="001448E6">
        <w:tc>
          <w:tcPr>
            <w:tcW w:w="5211" w:type="dxa"/>
          </w:tcPr>
          <w:p w:rsidR="00114C53" w:rsidRPr="00011503" w:rsidRDefault="00114C53" w:rsidP="00144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114C53" w:rsidRPr="00011503" w:rsidRDefault="00DA0C97" w:rsidP="001448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C57DFC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  <w:p w:rsidR="00114C53" w:rsidRPr="00011503" w:rsidRDefault="00114C53" w:rsidP="001448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503"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 w:rsidR="003A41EE">
              <w:rPr>
                <w:rFonts w:ascii="Times New Roman" w:hAnsi="Times New Roman"/>
                <w:sz w:val="26"/>
                <w:szCs w:val="26"/>
              </w:rPr>
              <w:t>Департамента культуры, спорта и туризма Чукотского автономного округа</w:t>
            </w:r>
            <w:r w:rsidRPr="000115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4C53" w:rsidRPr="00011503" w:rsidRDefault="00F45BDC" w:rsidP="00EF74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29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F7465">
              <w:rPr>
                <w:rFonts w:ascii="Times New Roman" w:hAnsi="Times New Roman"/>
                <w:sz w:val="26"/>
                <w:szCs w:val="26"/>
              </w:rPr>
              <w:t>30.12</w:t>
            </w:r>
            <w:r w:rsidR="002B2D6C">
              <w:rPr>
                <w:rFonts w:ascii="Times New Roman" w:hAnsi="Times New Roman"/>
                <w:sz w:val="26"/>
                <w:szCs w:val="26"/>
              </w:rPr>
              <w:t>.2022</w:t>
            </w:r>
            <w:r w:rsidR="00FD2F71" w:rsidRPr="00467291">
              <w:rPr>
                <w:rFonts w:ascii="Times New Roman" w:hAnsi="Times New Roman"/>
                <w:sz w:val="26"/>
                <w:szCs w:val="26"/>
              </w:rPr>
              <w:t xml:space="preserve"> г. № 01-1</w:t>
            </w:r>
            <w:r w:rsidRPr="00467291">
              <w:rPr>
                <w:rFonts w:ascii="Times New Roman" w:hAnsi="Times New Roman"/>
                <w:sz w:val="26"/>
                <w:szCs w:val="26"/>
              </w:rPr>
              <w:t>0</w:t>
            </w:r>
            <w:r w:rsidR="00FD2F71" w:rsidRPr="00467291">
              <w:rPr>
                <w:rFonts w:ascii="Times New Roman" w:hAnsi="Times New Roman"/>
                <w:sz w:val="26"/>
                <w:szCs w:val="26"/>
              </w:rPr>
              <w:t>/</w:t>
            </w:r>
            <w:r w:rsidR="00EF7465">
              <w:rPr>
                <w:rFonts w:ascii="Times New Roman" w:hAnsi="Times New Roman"/>
                <w:sz w:val="26"/>
                <w:szCs w:val="26"/>
              </w:rPr>
              <w:t>336</w:t>
            </w:r>
          </w:p>
        </w:tc>
      </w:tr>
    </w:tbl>
    <w:p w:rsidR="00114C53" w:rsidRDefault="00114C53" w:rsidP="0006222C">
      <w:pPr>
        <w:spacing w:after="0" w:line="240" w:lineRule="auto"/>
        <w:rPr>
          <w:rFonts w:ascii="Times New Roman" w:hAnsi="Times New Roman"/>
          <w:sz w:val="26"/>
        </w:rPr>
      </w:pPr>
    </w:p>
    <w:p w:rsidR="009B69B3" w:rsidRPr="00011503" w:rsidRDefault="009B69B3" w:rsidP="0006222C">
      <w:pPr>
        <w:spacing w:after="0" w:line="240" w:lineRule="auto"/>
        <w:rPr>
          <w:rFonts w:ascii="Times New Roman" w:hAnsi="Times New Roman"/>
          <w:sz w:val="26"/>
        </w:rPr>
      </w:pPr>
    </w:p>
    <w:p w:rsidR="00114C53" w:rsidRPr="0052552F" w:rsidRDefault="0052552F" w:rsidP="006304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552F">
        <w:rPr>
          <w:rFonts w:ascii="Times New Roman" w:hAnsi="Times New Roman"/>
          <w:b/>
          <w:sz w:val="26"/>
          <w:szCs w:val="26"/>
        </w:rPr>
        <w:t xml:space="preserve">Методика расчета ключевых показателей эффективности функционирования в </w:t>
      </w:r>
      <w:r w:rsidR="003A41EE">
        <w:rPr>
          <w:rFonts w:ascii="Times New Roman" w:hAnsi="Times New Roman"/>
          <w:b/>
          <w:sz w:val="26"/>
          <w:szCs w:val="26"/>
        </w:rPr>
        <w:t xml:space="preserve">Департаменте культуры, спорта и туризма </w:t>
      </w:r>
      <w:r w:rsidRPr="0052552F">
        <w:rPr>
          <w:rFonts w:ascii="Times New Roman" w:hAnsi="Times New Roman"/>
          <w:b/>
          <w:sz w:val="26"/>
          <w:szCs w:val="26"/>
        </w:rPr>
        <w:t>Чукотского автономного округа антимонопольного комплаенса</w:t>
      </w:r>
    </w:p>
    <w:p w:rsidR="00114C53" w:rsidRDefault="00114C53" w:rsidP="006304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B69B3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B69B3">
        <w:rPr>
          <w:rFonts w:ascii="Times New Roman" w:hAnsi="Times New Roman"/>
          <w:sz w:val="26"/>
          <w:szCs w:val="26"/>
        </w:rPr>
        <w:t xml:space="preserve">Методика расчета ключевых показателей эффективности функционирования в </w:t>
      </w:r>
      <w:r w:rsidR="003A41EE">
        <w:rPr>
          <w:rFonts w:ascii="Times New Roman" w:hAnsi="Times New Roman"/>
          <w:sz w:val="26"/>
          <w:szCs w:val="26"/>
        </w:rPr>
        <w:t>Департаменте культуры, спорта и туризма</w:t>
      </w:r>
      <w:r>
        <w:rPr>
          <w:rFonts w:ascii="Times New Roman" w:hAnsi="Times New Roman"/>
          <w:sz w:val="26"/>
          <w:szCs w:val="26"/>
        </w:rPr>
        <w:t xml:space="preserve"> Чукотского автономного округа</w:t>
      </w:r>
      <w:r w:rsidRPr="009B69B3">
        <w:rPr>
          <w:rFonts w:ascii="Times New Roman" w:hAnsi="Times New Roman"/>
          <w:sz w:val="26"/>
          <w:szCs w:val="26"/>
        </w:rPr>
        <w:t xml:space="preserve"> антимонопольного комплаенса (далее - </w:t>
      </w:r>
      <w:r w:rsidR="003A41EE">
        <w:rPr>
          <w:rFonts w:ascii="Times New Roman" w:hAnsi="Times New Roman"/>
          <w:sz w:val="26"/>
          <w:szCs w:val="26"/>
        </w:rPr>
        <w:t>Департамен</w:t>
      </w:r>
      <w:r w:rsidR="001B6B89">
        <w:rPr>
          <w:rFonts w:ascii="Times New Roman" w:hAnsi="Times New Roman"/>
          <w:sz w:val="26"/>
          <w:szCs w:val="26"/>
        </w:rPr>
        <w:t>т</w:t>
      </w:r>
      <w:r w:rsidRPr="009B69B3">
        <w:rPr>
          <w:rFonts w:ascii="Times New Roman" w:hAnsi="Times New Roman"/>
          <w:sz w:val="26"/>
          <w:szCs w:val="26"/>
        </w:rPr>
        <w:t xml:space="preserve">) разработана в соответствии с </w:t>
      </w:r>
      <w:hyperlink r:id="rId8" w:history="1">
        <w:r w:rsidRPr="009B69B3">
          <w:rPr>
            <w:rFonts w:ascii="Times New Roman" w:hAnsi="Times New Roman"/>
            <w:sz w:val="26"/>
            <w:szCs w:val="26"/>
          </w:rPr>
          <w:t>распоряжением</w:t>
        </w:r>
      </w:hyperlink>
      <w:r w:rsidRPr="009B69B3">
        <w:rPr>
          <w:rFonts w:ascii="Times New Roman" w:hAnsi="Times New Roman"/>
          <w:sz w:val="26"/>
          <w:szCs w:val="26"/>
        </w:rPr>
        <w:t xml:space="preserve"> Правительства Российской Федерации от 18.10.2018 </w:t>
      </w:r>
      <w:r w:rsidR="001B6B89">
        <w:rPr>
          <w:rFonts w:ascii="Times New Roman" w:hAnsi="Times New Roman"/>
          <w:sz w:val="26"/>
          <w:szCs w:val="26"/>
        </w:rPr>
        <w:t xml:space="preserve">№ 2258-р </w:t>
      </w:r>
      <w:r w:rsidR="00BC6743">
        <w:rPr>
          <w:rFonts w:ascii="Times New Roman" w:hAnsi="Times New Roman"/>
          <w:sz w:val="26"/>
          <w:szCs w:val="26"/>
        </w:rPr>
        <w:t xml:space="preserve">       </w:t>
      </w:r>
      <w:r w:rsidR="001B6B89">
        <w:rPr>
          <w:rFonts w:ascii="Times New Roman" w:hAnsi="Times New Roman"/>
          <w:sz w:val="26"/>
          <w:szCs w:val="26"/>
        </w:rPr>
        <w:t>«</w:t>
      </w:r>
      <w:r w:rsidRPr="009B69B3">
        <w:rPr>
          <w:rFonts w:ascii="Times New Roman" w:hAnsi="Times New Roman"/>
          <w:sz w:val="26"/>
          <w:szCs w:val="26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1B6B89">
        <w:rPr>
          <w:rFonts w:ascii="Times New Roman" w:hAnsi="Times New Roman"/>
          <w:sz w:val="26"/>
          <w:szCs w:val="26"/>
        </w:rPr>
        <w:t>тимонопольного законодательства»</w:t>
      </w:r>
      <w:r w:rsidRPr="009B69B3">
        <w:rPr>
          <w:rFonts w:ascii="Times New Roman" w:hAnsi="Times New Roman"/>
          <w:sz w:val="26"/>
          <w:szCs w:val="26"/>
        </w:rPr>
        <w:t xml:space="preserve"> (далее - Методические рекомендации).</w:t>
      </w:r>
      <w:proofErr w:type="gramEnd"/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2. В целях оценки эффективности функционирования в </w:t>
      </w:r>
      <w:r w:rsidR="003A41EE">
        <w:rPr>
          <w:rFonts w:ascii="Times New Roman" w:hAnsi="Times New Roman"/>
          <w:sz w:val="26"/>
          <w:szCs w:val="26"/>
        </w:rPr>
        <w:t xml:space="preserve">Департаменте </w:t>
      </w:r>
      <w:r w:rsidRPr="009B69B3">
        <w:rPr>
          <w:rFonts w:ascii="Times New Roman" w:hAnsi="Times New Roman"/>
          <w:sz w:val="26"/>
          <w:szCs w:val="26"/>
        </w:rPr>
        <w:t xml:space="preserve">антимонопольного комплаенса в соответствии с Методикой рассчитываются ключевые показатели эффективности антимонопольного комплаенса (далее - КПЭ) как для уполномоченного подразделения (должностного лица), так и для </w:t>
      </w:r>
      <w:r w:rsidR="00B9139D">
        <w:rPr>
          <w:rFonts w:ascii="Times New Roman" w:hAnsi="Times New Roman"/>
          <w:sz w:val="26"/>
          <w:szCs w:val="26"/>
        </w:rPr>
        <w:t>Департамен</w:t>
      </w:r>
      <w:r w:rsidR="001B6B89">
        <w:rPr>
          <w:rFonts w:ascii="Times New Roman" w:hAnsi="Times New Roman"/>
          <w:sz w:val="26"/>
          <w:szCs w:val="26"/>
        </w:rPr>
        <w:t>та</w:t>
      </w:r>
      <w:r w:rsidRPr="009B69B3">
        <w:rPr>
          <w:rFonts w:ascii="Times New Roman" w:hAnsi="Times New Roman"/>
          <w:sz w:val="26"/>
          <w:szCs w:val="26"/>
        </w:rPr>
        <w:t xml:space="preserve"> в целом.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CD6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B69B3">
        <w:rPr>
          <w:rFonts w:ascii="Times New Roman" w:hAnsi="Times New Roman"/>
          <w:b/>
          <w:bCs/>
          <w:sz w:val="26"/>
          <w:szCs w:val="26"/>
        </w:rPr>
        <w:t xml:space="preserve">II. Методика расчета КПЭ для </w:t>
      </w:r>
      <w:r w:rsidR="00B9139D">
        <w:rPr>
          <w:rFonts w:ascii="Times New Roman" w:hAnsi="Times New Roman"/>
          <w:b/>
          <w:bCs/>
          <w:sz w:val="26"/>
          <w:szCs w:val="26"/>
        </w:rPr>
        <w:t>Департамен</w:t>
      </w:r>
      <w:r w:rsidR="00412B17">
        <w:rPr>
          <w:rFonts w:ascii="Times New Roman" w:hAnsi="Times New Roman"/>
          <w:b/>
          <w:bCs/>
          <w:sz w:val="26"/>
          <w:szCs w:val="26"/>
        </w:rPr>
        <w:t>та</w:t>
      </w:r>
      <w:r w:rsidRPr="009B69B3">
        <w:rPr>
          <w:rFonts w:ascii="Times New Roman" w:hAnsi="Times New Roman"/>
          <w:b/>
          <w:bCs/>
          <w:sz w:val="26"/>
          <w:szCs w:val="26"/>
        </w:rPr>
        <w:t xml:space="preserve"> в целом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B69B3">
        <w:rPr>
          <w:rFonts w:ascii="Times New Roman" w:hAnsi="Times New Roman"/>
          <w:sz w:val="26"/>
          <w:szCs w:val="26"/>
        </w:rPr>
        <w:t xml:space="preserve">Ключевыми показателями эффективности антимонопольного комплаенса для </w:t>
      </w:r>
      <w:r w:rsidR="003A41EE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 в целом являются:</w:t>
      </w:r>
      <w:proofErr w:type="gramEnd"/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а) коэффициент снижения количества нарушений антимонопольного законодательства со стороны </w:t>
      </w:r>
      <w:r w:rsidR="003A41EE">
        <w:rPr>
          <w:rFonts w:ascii="Times New Roman" w:hAnsi="Times New Roman"/>
          <w:sz w:val="26"/>
          <w:szCs w:val="26"/>
        </w:rPr>
        <w:t xml:space="preserve">Департамента </w:t>
      </w:r>
      <w:r w:rsidRPr="009B69B3">
        <w:rPr>
          <w:rFonts w:ascii="Times New Roman" w:hAnsi="Times New Roman"/>
          <w:sz w:val="26"/>
          <w:szCs w:val="26"/>
        </w:rPr>
        <w:t xml:space="preserve">по сравнению с </w:t>
      </w:r>
      <w:r w:rsidR="004A281B">
        <w:rPr>
          <w:rFonts w:ascii="Times New Roman" w:hAnsi="Times New Roman"/>
          <w:sz w:val="26"/>
          <w:szCs w:val="26"/>
        </w:rPr>
        <w:t>предыдущим годом</w:t>
      </w:r>
      <w:r w:rsidRPr="009B69B3">
        <w:rPr>
          <w:rFonts w:ascii="Times New Roman" w:hAnsi="Times New Roman"/>
          <w:sz w:val="26"/>
          <w:szCs w:val="26"/>
        </w:rPr>
        <w:t>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б) доля проектов нормативных правовых актов </w:t>
      </w:r>
      <w:r w:rsidR="003A41EE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>, в которых выявлены риски нарушения антимонопольного законодательства;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в) доля нормативных правовых актов </w:t>
      </w:r>
      <w:r w:rsidR="003A41EE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>, в которых выявлены риски нарушения антимонопольного законодательства.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B69B3">
        <w:rPr>
          <w:rFonts w:ascii="Times New Roman" w:hAnsi="Times New Roman"/>
          <w:sz w:val="26"/>
          <w:szCs w:val="26"/>
        </w:rPr>
        <w:t xml:space="preserve">Коэффициент снижения количества нарушений антимонопольного законодательства со стороны </w:t>
      </w:r>
      <w:r w:rsidR="003A41EE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 (о сравнению с </w:t>
      </w:r>
      <w:r w:rsidR="002B2D6C">
        <w:rPr>
          <w:rFonts w:ascii="Times New Roman" w:hAnsi="Times New Roman"/>
          <w:sz w:val="26"/>
          <w:szCs w:val="26"/>
        </w:rPr>
        <w:t>предыдущим</w:t>
      </w:r>
      <w:r w:rsidRPr="009B69B3">
        <w:rPr>
          <w:rFonts w:ascii="Times New Roman" w:hAnsi="Times New Roman"/>
          <w:sz w:val="26"/>
          <w:szCs w:val="26"/>
        </w:rPr>
        <w:t xml:space="preserve"> годом рассчитывается по формуле:</w:t>
      </w:r>
      <w:proofErr w:type="gramEnd"/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6A480F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1158875" cy="589280"/>
                <wp:effectExtent l="0" t="0" r="3175" b="127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5"/>
                        <wps:cNvCnPr/>
                        <wps:spPr bwMode="auto">
                          <a:xfrm>
                            <a:off x="596900" y="241300"/>
                            <a:ext cx="52197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37540" y="267335"/>
                            <a:ext cx="43116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66D" w:rsidRDefault="00B4366D"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КНоп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8965" y="10795"/>
                            <a:ext cx="24701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66D" w:rsidRDefault="00B4366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940" y="125730"/>
                            <a:ext cx="36576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66D" w:rsidRDefault="00B4366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КСН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6300" y="122555"/>
                            <a:ext cx="1447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66D" w:rsidRPr="004A281B" w:rsidRDefault="00B4366D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0850" y="104775"/>
                            <a:ext cx="9779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66D" w:rsidRDefault="00B4366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91.25pt;height:46.4pt;mso-position-horizontal-relative:char;mso-position-vertical-relative:line" coordsize="11588,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88;height:5892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5969,2413" to="11188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HZcAAAADaAAAADwAAAGRycy9kb3ducmV2LnhtbESPQWsCMRSE7wX/Q3iCt5pVcCurUbRU&#10;8Ca11fNj89wsbl7WJOr6741Q6HGYmW+Y+bKzjbiRD7VjBaNhBoK4dLrmSsHvz+Z9CiJEZI2NY1Lw&#10;oADLRe9tjoV2d/6m2z5WIkE4FKjAxNgWUobSkMUwdC1x8k7OW4xJ+kpqj/cEt40cZ1kuLdacFgy2&#10;9GmoPO+vVsH0Yo7sTn78WDP6j+1kk3/tDkoN+t1qBiJSF//Df+2tVpDD60q6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MB2XAAAAA2gAAAA8AAAAAAAAAAAAAAAAA&#10;oQIAAGRycy9kb3ducmV2LnhtbFBLBQYAAAAABAAEAPkAAACOAwAAAAA=&#10;" strokeweight="33e-5mm"/>
                <v:rect id="Rectangle 6" o:spid="_x0000_s1029" style="position:absolute;left:6375;top:2673;width:431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F092C" w:rsidRDefault="007F092C"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КНоп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left:6089;top:107;width:2470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F092C" w:rsidRDefault="007F092C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8" o:spid="_x0000_s1031" style="position:absolute;left:279;top:1257;width:365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F092C" w:rsidRDefault="007F092C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КСН</w:t>
                        </w:r>
                      </w:p>
                    </w:txbxContent>
                  </v:textbox>
                </v:rect>
                <v:rect id="Rectangle 9" o:spid="_x0000_s1032" style="position:absolute;left:8763;top:1225;width:144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F092C" w:rsidRPr="004A281B" w:rsidRDefault="007F092C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год</w:t>
                        </w:r>
                      </w:p>
                    </w:txbxContent>
                  </v:textbox>
                </v:rect>
                <v:rect id="Rectangle 10" o:spid="_x0000_s1033" style="position:absolute;left:4508;top:1047;width:978;height:33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F092C" w:rsidRDefault="007F092C"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B69B3" w:rsidRPr="009B69B3">
        <w:rPr>
          <w:rFonts w:ascii="Times New Roman" w:hAnsi="Times New Roman"/>
          <w:sz w:val="26"/>
          <w:szCs w:val="26"/>
        </w:rPr>
        <w:t>, где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lastRenderedPageBreak/>
        <w:t xml:space="preserve">КСН - коэффициент снижения количества нарушений антимонопольного законодательства со стороны </w:t>
      </w:r>
      <w:r w:rsidR="003A41EE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 по сравнению с </w:t>
      </w:r>
      <w:r w:rsidR="0025538B">
        <w:rPr>
          <w:rFonts w:ascii="Times New Roman" w:hAnsi="Times New Roman"/>
          <w:sz w:val="26"/>
          <w:szCs w:val="26"/>
        </w:rPr>
        <w:t>предыдущим</w:t>
      </w:r>
      <w:r w:rsidRPr="009B69B3">
        <w:rPr>
          <w:rFonts w:ascii="Times New Roman" w:hAnsi="Times New Roman"/>
          <w:sz w:val="26"/>
          <w:szCs w:val="26"/>
        </w:rPr>
        <w:t xml:space="preserve"> годом;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КН</w:t>
      </w:r>
      <w:r w:rsidR="004A281B">
        <w:rPr>
          <w:rFonts w:ascii="Times New Roman" w:hAnsi="Times New Roman"/>
          <w:sz w:val="26"/>
          <w:szCs w:val="26"/>
          <w:vertAlign w:val="subscript"/>
        </w:rPr>
        <w:t>год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</w:t>
      </w:r>
      <w:r w:rsidR="004A281B" w:rsidRPr="004A281B">
        <w:rPr>
          <w:rFonts w:ascii="Times New Roman" w:eastAsia="Arial Unicode MS" w:hAnsi="Times New Roman"/>
          <w:sz w:val="26"/>
          <w:szCs w:val="26"/>
        </w:rPr>
        <w:t xml:space="preserve">количество нарушений антимонопольного законодательства со стороны Департамента в году, </w:t>
      </w:r>
      <w:proofErr w:type="gramStart"/>
      <w:r w:rsidR="004A281B" w:rsidRPr="004A281B">
        <w:rPr>
          <w:rFonts w:ascii="Times New Roman" w:eastAsia="Arial Unicode MS" w:hAnsi="Times New Roman"/>
          <w:sz w:val="26"/>
          <w:szCs w:val="26"/>
        </w:rPr>
        <w:t>предшествующим</w:t>
      </w:r>
      <w:proofErr w:type="gramEnd"/>
      <w:r w:rsidR="004A281B" w:rsidRPr="004A281B">
        <w:rPr>
          <w:rFonts w:ascii="Times New Roman" w:eastAsia="Arial Unicode MS" w:hAnsi="Times New Roman"/>
          <w:sz w:val="26"/>
          <w:szCs w:val="26"/>
        </w:rPr>
        <w:t xml:space="preserve"> отчетному году</w:t>
      </w:r>
      <w:r w:rsidRPr="009B69B3">
        <w:rPr>
          <w:rFonts w:ascii="Times New Roman" w:hAnsi="Times New Roman"/>
          <w:sz w:val="26"/>
          <w:szCs w:val="26"/>
        </w:rPr>
        <w:t>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КНоп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количество нарушений антимонопольного законодательства со стороны </w:t>
      </w:r>
      <w:r w:rsidR="003A41EE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 в отчетном периоде.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При расчете </w:t>
      </w:r>
      <w:proofErr w:type="gramStart"/>
      <w:r w:rsidRPr="009B69B3">
        <w:rPr>
          <w:rFonts w:ascii="Times New Roman" w:hAnsi="Times New Roman"/>
          <w:sz w:val="26"/>
          <w:szCs w:val="26"/>
        </w:rPr>
        <w:t>коэффициента снижения количества нарушений антимонопольного законодательства</w:t>
      </w:r>
      <w:proofErr w:type="gramEnd"/>
      <w:r w:rsidRPr="009B69B3">
        <w:rPr>
          <w:rFonts w:ascii="Times New Roman" w:hAnsi="Times New Roman"/>
          <w:sz w:val="26"/>
          <w:szCs w:val="26"/>
        </w:rPr>
        <w:t xml:space="preserve"> со стороны </w:t>
      </w:r>
      <w:r w:rsidR="003A41EE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 под нарушением антимонопольного законодательства со стороны </w:t>
      </w:r>
      <w:r w:rsidR="003A41EE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 понимаются: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- возбужденные антимонопольным органом в отношении </w:t>
      </w:r>
      <w:r w:rsidR="003A41EE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 антимонопольные дела;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- выданные антимонопольным органом </w:t>
      </w:r>
      <w:r w:rsidR="003A41EE">
        <w:rPr>
          <w:rFonts w:ascii="Times New Roman" w:hAnsi="Times New Roman"/>
          <w:sz w:val="26"/>
          <w:szCs w:val="26"/>
        </w:rPr>
        <w:t>Департаменту</w:t>
      </w:r>
      <w:r w:rsidRPr="009B69B3">
        <w:rPr>
          <w:rFonts w:ascii="Times New Roman" w:hAnsi="Times New Roman"/>
          <w:sz w:val="26"/>
          <w:szCs w:val="26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- направленные антимонопольным органом </w:t>
      </w:r>
      <w:r w:rsidR="003A41EE">
        <w:rPr>
          <w:rFonts w:ascii="Times New Roman" w:hAnsi="Times New Roman"/>
          <w:sz w:val="26"/>
          <w:szCs w:val="26"/>
        </w:rPr>
        <w:t>Департаменту</w:t>
      </w:r>
      <w:r w:rsidRPr="009B69B3">
        <w:rPr>
          <w:rFonts w:ascii="Times New Roman" w:hAnsi="Times New Roman"/>
          <w:sz w:val="26"/>
          <w:szCs w:val="26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5. Доля проектов нормативных правовых актов </w:t>
      </w:r>
      <w:r w:rsidR="003A41EE">
        <w:rPr>
          <w:rFonts w:ascii="Times New Roman" w:hAnsi="Times New Roman"/>
          <w:sz w:val="26"/>
          <w:szCs w:val="26"/>
        </w:rPr>
        <w:t>Департамент</w:t>
      </w:r>
      <w:r w:rsidR="004053EF">
        <w:rPr>
          <w:rFonts w:ascii="Times New Roman" w:hAnsi="Times New Roman"/>
          <w:sz w:val="26"/>
          <w:szCs w:val="26"/>
        </w:rPr>
        <w:t>а</w:t>
      </w:r>
      <w:r w:rsidRPr="009B69B3">
        <w:rPr>
          <w:rFonts w:ascii="Times New Roman" w:hAnsi="Times New Roman"/>
          <w:sz w:val="26"/>
          <w:szCs w:val="26"/>
        </w:rPr>
        <w:t xml:space="preserve">, в которых выявлены риски нарушения </w:t>
      </w:r>
      <w:proofErr w:type="gramStart"/>
      <w:r w:rsidRPr="009B69B3">
        <w:rPr>
          <w:rFonts w:ascii="Times New Roman" w:hAnsi="Times New Roman"/>
          <w:sz w:val="26"/>
          <w:szCs w:val="26"/>
        </w:rPr>
        <w:t>антимонопольного</w:t>
      </w:r>
      <w:proofErr w:type="gramEnd"/>
      <w:r w:rsidRPr="009B69B3">
        <w:rPr>
          <w:rFonts w:ascii="Times New Roman" w:hAnsi="Times New Roman"/>
          <w:sz w:val="26"/>
          <w:szCs w:val="26"/>
        </w:rPr>
        <w:t xml:space="preserve"> законодательства, рассчитывается по формуле: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noProof/>
          <w:position w:val="-24"/>
          <w:sz w:val="26"/>
          <w:szCs w:val="26"/>
        </w:rPr>
        <w:drawing>
          <wp:inline distT="0" distB="0" distL="0" distR="0" wp14:anchorId="2B79A5CC" wp14:editId="74DA5574">
            <wp:extent cx="1275715" cy="467995"/>
            <wp:effectExtent l="0" t="0" r="63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9B3">
        <w:rPr>
          <w:rFonts w:ascii="Times New Roman" w:hAnsi="Times New Roman"/>
          <w:sz w:val="26"/>
          <w:szCs w:val="26"/>
        </w:rPr>
        <w:t>, где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Дпнпа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доля проектов нормативных правовых актов </w:t>
      </w:r>
      <w:r w:rsidR="003A41EE">
        <w:rPr>
          <w:rFonts w:ascii="Times New Roman" w:hAnsi="Times New Roman"/>
          <w:sz w:val="26"/>
          <w:szCs w:val="26"/>
        </w:rPr>
        <w:t>Департамент</w:t>
      </w:r>
      <w:r w:rsidR="004053EF">
        <w:rPr>
          <w:rFonts w:ascii="Times New Roman" w:hAnsi="Times New Roman"/>
          <w:sz w:val="26"/>
          <w:szCs w:val="26"/>
        </w:rPr>
        <w:t>а</w:t>
      </w:r>
      <w:r w:rsidRPr="009B69B3">
        <w:rPr>
          <w:rFonts w:ascii="Times New Roman" w:hAnsi="Times New Roman"/>
          <w:sz w:val="26"/>
          <w:szCs w:val="26"/>
        </w:rPr>
        <w:t>, в которых выявлены риски нарушения антимонопольного законодательства;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Кпнпа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количество проектов нормативных правовых актов </w:t>
      </w:r>
      <w:r w:rsidR="00D42A5D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, в которых </w:t>
      </w:r>
      <w:r w:rsidR="00D42A5D">
        <w:rPr>
          <w:rFonts w:ascii="Times New Roman" w:hAnsi="Times New Roman"/>
          <w:sz w:val="26"/>
          <w:szCs w:val="26"/>
        </w:rPr>
        <w:t>Департаментом</w:t>
      </w:r>
      <w:r w:rsidRPr="009B69B3">
        <w:rPr>
          <w:rFonts w:ascii="Times New Roman" w:hAnsi="Times New Roman"/>
          <w:sz w:val="26"/>
          <w:szCs w:val="26"/>
        </w:rPr>
        <w:t xml:space="preserve"> выявлены риски нарушения антимонопольного законодательства (в отчетном периоде);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КНоп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количество нормативных правовых актов </w:t>
      </w:r>
      <w:r w:rsidR="00D42A5D">
        <w:rPr>
          <w:rFonts w:ascii="Times New Roman" w:hAnsi="Times New Roman"/>
          <w:sz w:val="26"/>
          <w:szCs w:val="26"/>
        </w:rPr>
        <w:t>Департамент</w:t>
      </w:r>
      <w:r w:rsidR="004053EF">
        <w:rPr>
          <w:rFonts w:ascii="Times New Roman" w:hAnsi="Times New Roman"/>
          <w:sz w:val="26"/>
          <w:szCs w:val="26"/>
        </w:rPr>
        <w:t>а</w:t>
      </w:r>
      <w:r w:rsidRPr="009B69B3">
        <w:rPr>
          <w:rFonts w:ascii="Times New Roman" w:hAnsi="Times New Roman"/>
          <w:sz w:val="26"/>
          <w:szCs w:val="26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6. Доля нормативных правовых актов </w:t>
      </w:r>
      <w:r w:rsidR="00D42A5D">
        <w:rPr>
          <w:rFonts w:ascii="Times New Roman" w:hAnsi="Times New Roman"/>
          <w:sz w:val="26"/>
          <w:szCs w:val="26"/>
        </w:rPr>
        <w:t>Департамен</w:t>
      </w:r>
      <w:r w:rsidR="004053EF">
        <w:rPr>
          <w:rFonts w:ascii="Times New Roman" w:hAnsi="Times New Roman"/>
          <w:sz w:val="26"/>
          <w:szCs w:val="26"/>
        </w:rPr>
        <w:t>та</w:t>
      </w:r>
      <w:r w:rsidRPr="009B69B3">
        <w:rPr>
          <w:rFonts w:ascii="Times New Roman" w:hAnsi="Times New Roman"/>
          <w:sz w:val="26"/>
          <w:szCs w:val="26"/>
        </w:rPr>
        <w:t xml:space="preserve">, в которых выявлены риски нарушения </w:t>
      </w:r>
      <w:proofErr w:type="gramStart"/>
      <w:r w:rsidRPr="009B69B3">
        <w:rPr>
          <w:rFonts w:ascii="Times New Roman" w:hAnsi="Times New Roman"/>
          <w:sz w:val="26"/>
          <w:szCs w:val="26"/>
        </w:rPr>
        <w:t>антимонопольного</w:t>
      </w:r>
      <w:proofErr w:type="gramEnd"/>
      <w:r w:rsidRPr="009B69B3">
        <w:rPr>
          <w:rFonts w:ascii="Times New Roman" w:hAnsi="Times New Roman"/>
          <w:sz w:val="26"/>
          <w:szCs w:val="26"/>
        </w:rPr>
        <w:t xml:space="preserve"> законодательства, рассчитывается по формуле: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noProof/>
          <w:position w:val="-24"/>
          <w:sz w:val="26"/>
          <w:szCs w:val="26"/>
        </w:rPr>
        <w:drawing>
          <wp:inline distT="0" distB="0" distL="0" distR="0" wp14:anchorId="770D34E1" wp14:editId="50B2919A">
            <wp:extent cx="1127125" cy="4679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9B3">
        <w:rPr>
          <w:rFonts w:ascii="Times New Roman" w:hAnsi="Times New Roman"/>
          <w:sz w:val="26"/>
          <w:szCs w:val="26"/>
        </w:rPr>
        <w:t>, где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Днпа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доля нормативных правовых актов </w:t>
      </w:r>
      <w:r w:rsidR="00D42A5D">
        <w:rPr>
          <w:rFonts w:ascii="Times New Roman" w:hAnsi="Times New Roman"/>
          <w:sz w:val="26"/>
          <w:szCs w:val="26"/>
        </w:rPr>
        <w:t>Департамент</w:t>
      </w:r>
      <w:r w:rsidR="00A8506D">
        <w:rPr>
          <w:rFonts w:ascii="Times New Roman" w:hAnsi="Times New Roman"/>
          <w:sz w:val="26"/>
          <w:szCs w:val="26"/>
        </w:rPr>
        <w:t>а</w:t>
      </w:r>
      <w:r w:rsidRPr="009B69B3">
        <w:rPr>
          <w:rFonts w:ascii="Times New Roman" w:hAnsi="Times New Roman"/>
          <w:sz w:val="26"/>
          <w:szCs w:val="26"/>
        </w:rPr>
        <w:t xml:space="preserve">, в которых выявлены </w:t>
      </w:r>
      <w:r w:rsidRPr="009B69B3">
        <w:rPr>
          <w:rFonts w:ascii="Times New Roman" w:hAnsi="Times New Roman"/>
          <w:sz w:val="26"/>
          <w:szCs w:val="26"/>
        </w:rPr>
        <w:lastRenderedPageBreak/>
        <w:t>риски нарушения антимонопольного законодательства;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Кпнпа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количество нормативных правовых актов </w:t>
      </w:r>
      <w:r w:rsidR="00D42A5D">
        <w:rPr>
          <w:rFonts w:ascii="Times New Roman" w:hAnsi="Times New Roman"/>
          <w:sz w:val="26"/>
          <w:szCs w:val="26"/>
        </w:rPr>
        <w:t>Департамен</w:t>
      </w:r>
      <w:r w:rsidR="00A8506D">
        <w:rPr>
          <w:rFonts w:ascii="Times New Roman" w:hAnsi="Times New Roman"/>
          <w:sz w:val="26"/>
          <w:szCs w:val="26"/>
        </w:rPr>
        <w:t>та</w:t>
      </w:r>
      <w:r w:rsidRPr="009B69B3">
        <w:rPr>
          <w:rFonts w:ascii="Times New Roman" w:hAnsi="Times New Roman"/>
          <w:sz w:val="26"/>
          <w:szCs w:val="26"/>
        </w:rPr>
        <w:t xml:space="preserve">, в которых </w:t>
      </w:r>
      <w:r w:rsidR="00D42A5D">
        <w:rPr>
          <w:rFonts w:ascii="Times New Roman" w:hAnsi="Times New Roman"/>
          <w:sz w:val="26"/>
          <w:szCs w:val="26"/>
        </w:rPr>
        <w:t xml:space="preserve">Департаментом </w:t>
      </w:r>
      <w:r w:rsidRPr="009B69B3">
        <w:rPr>
          <w:rFonts w:ascii="Times New Roman" w:hAnsi="Times New Roman"/>
          <w:sz w:val="26"/>
          <w:szCs w:val="26"/>
        </w:rPr>
        <w:t xml:space="preserve"> выявлены риски нарушения антимонопольного законодательства (в отчетном периоде);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КНоп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количество нормативных правовых актов </w:t>
      </w:r>
      <w:r w:rsidR="00D42A5D">
        <w:rPr>
          <w:rFonts w:ascii="Times New Roman" w:hAnsi="Times New Roman"/>
          <w:sz w:val="26"/>
          <w:szCs w:val="26"/>
        </w:rPr>
        <w:t>Департамен</w:t>
      </w:r>
      <w:r w:rsidR="00A8506D">
        <w:rPr>
          <w:rFonts w:ascii="Times New Roman" w:hAnsi="Times New Roman"/>
          <w:sz w:val="26"/>
          <w:szCs w:val="26"/>
        </w:rPr>
        <w:t>та</w:t>
      </w:r>
      <w:r w:rsidRPr="009B69B3">
        <w:rPr>
          <w:rFonts w:ascii="Times New Roman" w:hAnsi="Times New Roman"/>
          <w:sz w:val="26"/>
          <w:szCs w:val="26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B69B3">
        <w:rPr>
          <w:rFonts w:ascii="Times New Roman" w:hAnsi="Times New Roman"/>
          <w:b/>
          <w:bCs/>
          <w:sz w:val="26"/>
          <w:szCs w:val="26"/>
        </w:rPr>
        <w:t>III. Методика расчета ключевых показателей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69B3">
        <w:rPr>
          <w:rFonts w:ascii="Times New Roman" w:hAnsi="Times New Roman"/>
          <w:b/>
          <w:bCs/>
          <w:sz w:val="26"/>
          <w:szCs w:val="26"/>
        </w:rPr>
        <w:t>эффективности функционирования антимонопольного комплаенса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69B3">
        <w:rPr>
          <w:rFonts w:ascii="Times New Roman" w:hAnsi="Times New Roman"/>
          <w:b/>
          <w:bCs/>
          <w:sz w:val="26"/>
          <w:szCs w:val="26"/>
        </w:rPr>
        <w:t>для уполномоченного подразделения (должностного лица)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7. Для уполномоченного подразделения (должностного лица) рассчитываются </w:t>
      </w:r>
      <w:proofErr w:type="gramStart"/>
      <w:r w:rsidRPr="009B69B3">
        <w:rPr>
          <w:rFonts w:ascii="Times New Roman" w:hAnsi="Times New Roman"/>
          <w:sz w:val="26"/>
          <w:szCs w:val="26"/>
        </w:rPr>
        <w:t>следующий</w:t>
      </w:r>
      <w:proofErr w:type="gramEnd"/>
      <w:r w:rsidRPr="009B69B3">
        <w:rPr>
          <w:rFonts w:ascii="Times New Roman" w:hAnsi="Times New Roman"/>
          <w:sz w:val="26"/>
          <w:szCs w:val="26"/>
        </w:rPr>
        <w:t xml:space="preserve"> КПЭ: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доля сотрудников </w:t>
      </w:r>
      <w:r w:rsidR="00844801">
        <w:rPr>
          <w:rFonts w:ascii="Times New Roman" w:hAnsi="Times New Roman"/>
          <w:sz w:val="26"/>
          <w:szCs w:val="26"/>
        </w:rPr>
        <w:t>Департамен</w:t>
      </w:r>
      <w:r w:rsidR="00A8506D">
        <w:rPr>
          <w:rFonts w:ascii="Times New Roman" w:hAnsi="Times New Roman"/>
          <w:sz w:val="26"/>
          <w:szCs w:val="26"/>
        </w:rPr>
        <w:t>та</w:t>
      </w:r>
      <w:r w:rsidRPr="009B69B3">
        <w:rPr>
          <w:rFonts w:ascii="Times New Roman" w:hAnsi="Times New Roman"/>
          <w:sz w:val="26"/>
          <w:szCs w:val="26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9B69B3">
        <w:rPr>
          <w:rFonts w:ascii="Times New Roman" w:hAnsi="Times New Roman"/>
          <w:sz w:val="26"/>
          <w:szCs w:val="26"/>
        </w:rPr>
        <w:t>комплаенсу</w:t>
      </w:r>
      <w:proofErr w:type="spellEnd"/>
      <w:r w:rsidRPr="009B69B3">
        <w:rPr>
          <w:rFonts w:ascii="Times New Roman" w:hAnsi="Times New Roman"/>
          <w:sz w:val="26"/>
          <w:szCs w:val="26"/>
        </w:rPr>
        <w:t>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8. Доля сотрудников </w:t>
      </w:r>
      <w:r w:rsidR="00844801">
        <w:rPr>
          <w:rFonts w:ascii="Times New Roman" w:hAnsi="Times New Roman"/>
          <w:sz w:val="26"/>
          <w:szCs w:val="26"/>
        </w:rPr>
        <w:t>Департамен</w:t>
      </w:r>
      <w:r w:rsidR="004139D7">
        <w:rPr>
          <w:rFonts w:ascii="Times New Roman" w:hAnsi="Times New Roman"/>
          <w:sz w:val="26"/>
          <w:szCs w:val="26"/>
        </w:rPr>
        <w:t>та</w:t>
      </w:r>
      <w:r w:rsidRPr="009B69B3">
        <w:rPr>
          <w:rFonts w:ascii="Times New Roman" w:hAnsi="Times New Roman"/>
          <w:sz w:val="26"/>
          <w:szCs w:val="26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9B69B3">
        <w:rPr>
          <w:rFonts w:ascii="Times New Roman" w:hAnsi="Times New Roman"/>
          <w:sz w:val="26"/>
          <w:szCs w:val="26"/>
        </w:rPr>
        <w:t>комплаенсу</w:t>
      </w:r>
      <w:proofErr w:type="spellEnd"/>
      <w:r w:rsidRPr="009B69B3">
        <w:rPr>
          <w:rFonts w:ascii="Times New Roman" w:hAnsi="Times New Roman"/>
          <w:sz w:val="26"/>
          <w:szCs w:val="26"/>
        </w:rPr>
        <w:t>, рассчитывается по формуле: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noProof/>
          <w:position w:val="-26"/>
          <w:sz w:val="26"/>
          <w:szCs w:val="26"/>
        </w:rPr>
        <w:drawing>
          <wp:inline distT="0" distB="0" distL="0" distR="0" wp14:anchorId="6D889024" wp14:editId="2B0EB50F">
            <wp:extent cx="1190625" cy="48895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9B3">
        <w:rPr>
          <w:rFonts w:ascii="Times New Roman" w:hAnsi="Times New Roman"/>
          <w:sz w:val="26"/>
          <w:szCs w:val="26"/>
        </w:rPr>
        <w:t>, где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ДСо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доля сотрудников </w:t>
      </w:r>
      <w:r w:rsidR="00844801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9B69B3">
        <w:rPr>
          <w:rFonts w:ascii="Times New Roman" w:hAnsi="Times New Roman"/>
          <w:sz w:val="26"/>
          <w:szCs w:val="26"/>
        </w:rPr>
        <w:t>комплаенсу</w:t>
      </w:r>
      <w:proofErr w:type="spellEnd"/>
      <w:r w:rsidRPr="009B69B3">
        <w:rPr>
          <w:rFonts w:ascii="Times New Roman" w:hAnsi="Times New Roman"/>
          <w:sz w:val="26"/>
          <w:szCs w:val="26"/>
        </w:rPr>
        <w:t>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КСо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количество сотрудников </w:t>
      </w:r>
      <w:r w:rsidR="00844801">
        <w:rPr>
          <w:rFonts w:ascii="Times New Roman" w:hAnsi="Times New Roman"/>
          <w:sz w:val="26"/>
          <w:szCs w:val="26"/>
        </w:rPr>
        <w:t>Департамент</w:t>
      </w:r>
      <w:r w:rsidR="004139D7">
        <w:rPr>
          <w:rFonts w:ascii="Times New Roman" w:hAnsi="Times New Roman"/>
          <w:sz w:val="26"/>
          <w:szCs w:val="26"/>
        </w:rPr>
        <w:t>а</w:t>
      </w:r>
      <w:r w:rsidRPr="009B69B3">
        <w:rPr>
          <w:rFonts w:ascii="Times New Roman" w:hAnsi="Times New Roman"/>
          <w:sz w:val="26"/>
          <w:szCs w:val="26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9B69B3">
        <w:rPr>
          <w:rFonts w:ascii="Times New Roman" w:hAnsi="Times New Roman"/>
          <w:sz w:val="26"/>
          <w:szCs w:val="26"/>
        </w:rPr>
        <w:t>комплаенсу</w:t>
      </w:r>
      <w:proofErr w:type="spellEnd"/>
      <w:r w:rsidRPr="009B69B3">
        <w:rPr>
          <w:rFonts w:ascii="Times New Roman" w:hAnsi="Times New Roman"/>
          <w:sz w:val="26"/>
          <w:szCs w:val="26"/>
        </w:rPr>
        <w:t>;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69B3">
        <w:rPr>
          <w:rFonts w:ascii="Times New Roman" w:hAnsi="Times New Roman"/>
          <w:sz w:val="26"/>
          <w:szCs w:val="26"/>
        </w:rPr>
        <w:t>КСобщ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- общее количество сотрудников </w:t>
      </w:r>
      <w:r w:rsidR="00844801">
        <w:rPr>
          <w:rFonts w:ascii="Times New Roman" w:hAnsi="Times New Roman"/>
          <w:sz w:val="26"/>
          <w:szCs w:val="26"/>
        </w:rPr>
        <w:t>Департамен</w:t>
      </w:r>
      <w:r w:rsidR="004139D7">
        <w:rPr>
          <w:rFonts w:ascii="Times New Roman" w:hAnsi="Times New Roman"/>
          <w:sz w:val="26"/>
          <w:szCs w:val="26"/>
        </w:rPr>
        <w:t>та</w:t>
      </w:r>
      <w:r w:rsidRPr="009B69B3">
        <w:rPr>
          <w:rFonts w:ascii="Times New Roman" w:hAnsi="Times New Roman"/>
          <w:sz w:val="26"/>
          <w:szCs w:val="26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4139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B69B3">
        <w:rPr>
          <w:rFonts w:ascii="Times New Roman" w:hAnsi="Times New Roman"/>
          <w:b/>
          <w:bCs/>
          <w:sz w:val="26"/>
          <w:szCs w:val="26"/>
        </w:rPr>
        <w:t xml:space="preserve">IV. Оценка значений КПЭ для </w:t>
      </w:r>
      <w:r w:rsidR="00844801">
        <w:rPr>
          <w:rFonts w:ascii="Times New Roman" w:hAnsi="Times New Roman"/>
          <w:b/>
          <w:bCs/>
          <w:sz w:val="26"/>
          <w:szCs w:val="26"/>
        </w:rPr>
        <w:t>Департамента культуры, спорта и туризма</w:t>
      </w:r>
      <w:r w:rsidR="004139D7">
        <w:rPr>
          <w:rFonts w:ascii="Times New Roman" w:hAnsi="Times New Roman"/>
          <w:b/>
          <w:bCs/>
          <w:sz w:val="26"/>
          <w:szCs w:val="26"/>
        </w:rPr>
        <w:t xml:space="preserve"> Чукотского автономного округа </w:t>
      </w:r>
      <w:r w:rsidRPr="009B69B3">
        <w:rPr>
          <w:rFonts w:ascii="Times New Roman" w:hAnsi="Times New Roman"/>
          <w:b/>
          <w:bCs/>
          <w:sz w:val="26"/>
          <w:szCs w:val="26"/>
        </w:rPr>
        <w:t>в целом и КПЭ для уполномоченного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69B3">
        <w:rPr>
          <w:rFonts w:ascii="Times New Roman" w:hAnsi="Times New Roman"/>
          <w:b/>
          <w:bCs/>
          <w:sz w:val="26"/>
          <w:szCs w:val="26"/>
        </w:rPr>
        <w:t>подразделения (должностного лица)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9. Оценка значений КПЭ </w:t>
      </w:r>
      <w:r w:rsidR="004139D7">
        <w:rPr>
          <w:rFonts w:ascii="Times New Roman" w:hAnsi="Times New Roman"/>
          <w:sz w:val="26"/>
          <w:szCs w:val="26"/>
        </w:rPr>
        <w:t>«</w:t>
      </w:r>
      <w:r w:rsidRPr="009B69B3">
        <w:rPr>
          <w:rFonts w:ascii="Times New Roman" w:hAnsi="Times New Roman"/>
          <w:sz w:val="26"/>
          <w:szCs w:val="26"/>
        </w:rPr>
        <w:t xml:space="preserve">коэффициент снижения количества нарушений антимонопольного законодательства со стороны </w:t>
      </w:r>
      <w:r w:rsidR="006E4E5F">
        <w:rPr>
          <w:rFonts w:ascii="Times New Roman" w:hAnsi="Times New Roman"/>
          <w:sz w:val="26"/>
          <w:szCs w:val="26"/>
        </w:rPr>
        <w:t>Департамента</w:t>
      </w:r>
      <w:r w:rsidR="003E669C">
        <w:rPr>
          <w:rFonts w:ascii="Times New Roman" w:hAnsi="Times New Roman"/>
          <w:sz w:val="26"/>
          <w:szCs w:val="26"/>
        </w:rPr>
        <w:t xml:space="preserve"> по сравнению с предыдущим годом</w:t>
      </w:r>
      <w:r w:rsidR="004139D7">
        <w:rPr>
          <w:rFonts w:ascii="Times New Roman" w:hAnsi="Times New Roman"/>
          <w:sz w:val="26"/>
          <w:szCs w:val="26"/>
        </w:rPr>
        <w:t>»</w:t>
      </w:r>
      <w:r w:rsidRPr="009B69B3">
        <w:rPr>
          <w:rFonts w:ascii="Times New Roman" w:hAnsi="Times New Roman"/>
          <w:sz w:val="26"/>
          <w:szCs w:val="26"/>
        </w:rPr>
        <w:t>.</w:t>
      </w:r>
    </w:p>
    <w:p w:rsidR="009B69B3" w:rsidRPr="00BC6743" w:rsidRDefault="00BC674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Ежегодная оценка значения КПЭ «</w:t>
      </w:r>
      <w:r w:rsidR="009B69B3" w:rsidRPr="009B69B3">
        <w:rPr>
          <w:rFonts w:ascii="Times New Roman" w:hAnsi="Times New Roman"/>
          <w:sz w:val="26"/>
          <w:szCs w:val="26"/>
        </w:rPr>
        <w:t xml:space="preserve">коэффициент снижения количества нарушений антимонопольного законодательства со стороны </w:t>
      </w:r>
      <w:r w:rsidR="00743543">
        <w:rPr>
          <w:rFonts w:ascii="Times New Roman" w:hAnsi="Times New Roman"/>
          <w:sz w:val="26"/>
          <w:szCs w:val="26"/>
        </w:rPr>
        <w:t>Департамен</w:t>
      </w:r>
      <w:r w:rsidR="003E669C">
        <w:rPr>
          <w:rFonts w:ascii="Times New Roman" w:hAnsi="Times New Roman"/>
          <w:sz w:val="26"/>
          <w:szCs w:val="26"/>
        </w:rPr>
        <w:t>та по сравнению с предыдущим</w:t>
      </w:r>
      <w:r>
        <w:rPr>
          <w:rFonts w:ascii="Times New Roman" w:hAnsi="Times New Roman"/>
          <w:sz w:val="26"/>
          <w:szCs w:val="26"/>
        </w:rPr>
        <w:t xml:space="preserve"> годом</w:t>
      </w:r>
      <w:r w:rsidRPr="00BC6743">
        <w:rPr>
          <w:rFonts w:ascii="Times New Roman" w:hAnsi="Times New Roman"/>
          <w:sz w:val="26"/>
          <w:szCs w:val="26"/>
        </w:rPr>
        <w:t xml:space="preserve">» </w:t>
      </w:r>
      <w:r w:rsidR="009B69B3" w:rsidRPr="00BC6743">
        <w:rPr>
          <w:rFonts w:ascii="Times New Roman" w:hAnsi="Times New Roman"/>
          <w:sz w:val="26"/>
          <w:szCs w:val="26"/>
        </w:rPr>
        <w:t xml:space="preserve">призвана обеспечить понимание об эффективности </w:t>
      </w:r>
      <w:r w:rsidR="009B69B3" w:rsidRPr="00BC6743">
        <w:rPr>
          <w:rFonts w:ascii="Times New Roman" w:hAnsi="Times New Roman"/>
          <w:sz w:val="26"/>
          <w:szCs w:val="26"/>
        </w:rPr>
        <w:lastRenderedPageBreak/>
        <w:t xml:space="preserve">функционирования антимонопольного комплаенса в органе исполнительной власти и о соответствии мероприятий антимонопольного комплаенса органа исполнительной власти направлениям совершенствования государственной политики по развитию конкуренции, установленных Национальным </w:t>
      </w:r>
      <w:hyperlink r:id="rId12" w:history="1">
        <w:r w:rsidR="009B69B3" w:rsidRPr="00BC6743">
          <w:rPr>
            <w:rFonts w:ascii="Times New Roman" w:hAnsi="Times New Roman"/>
            <w:sz w:val="26"/>
            <w:szCs w:val="26"/>
          </w:rPr>
          <w:t>планом</w:t>
        </w:r>
      </w:hyperlink>
      <w:r w:rsidR="009B69B3" w:rsidRPr="00BC6743">
        <w:rPr>
          <w:rFonts w:ascii="Times New Roman" w:hAnsi="Times New Roman"/>
          <w:sz w:val="26"/>
          <w:szCs w:val="26"/>
        </w:rPr>
        <w:t>.</w:t>
      </w:r>
      <w:proofErr w:type="gramEnd"/>
    </w:p>
    <w:p w:rsidR="009B69B3" w:rsidRPr="00BC6743" w:rsidRDefault="00BC674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6743">
        <w:rPr>
          <w:rFonts w:ascii="Times New Roman" w:hAnsi="Times New Roman"/>
          <w:sz w:val="26"/>
          <w:szCs w:val="26"/>
        </w:rPr>
        <w:t>10. Оценка значений КПЭ «</w:t>
      </w:r>
      <w:r w:rsidR="009B69B3" w:rsidRPr="00BC6743">
        <w:rPr>
          <w:rFonts w:ascii="Times New Roman" w:hAnsi="Times New Roman"/>
          <w:sz w:val="26"/>
          <w:szCs w:val="26"/>
        </w:rPr>
        <w:t xml:space="preserve">доля проектов нормативных правовых актов </w:t>
      </w:r>
      <w:r w:rsidR="00743543">
        <w:rPr>
          <w:rFonts w:ascii="Times New Roman" w:hAnsi="Times New Roman"/>
          <w:sz w:val="26"/>
          <w:szCs w:val="26"/>
        </w:rPr>
        <w:t>Департамен</w:t>
      </w:r>
      <w:r w:rsidRPr="00BC6743">
        <w:rPr>
          <w:rFonts w:ascii="Times New Roman" w:hAnsi="Times New Roman"/>
          <w:sz w:val="26"/>
          <w:szCs w:val="26"/>
        </w:rPr>
        <w:t>та</w:t>
      </w:r>
      <w:r w:rsidR="009B69B3" w:rsidRPr="00BC6743">
        <w:rPr>
          <w:rFonts w:ascii="Times New Roman" w:hAnsi="Times New Roman"/>
          <w:sz w:val="26"/>
          <w:szCs w:val="26"/>
        </w:rPr>
        <w:t>, в которых выявлены риски нарушения ан</w:t>
      </w:r>
      <w:r w:rsidRPr="00BC6743">
        <w:rPr>
          <w:rFonts w:ascii="Times New Roman" w:hAnsi="Times New Roman"/>
          <w:sz w:val="26"/>
          <w:szCs w:val="26"/>
        </w:rPr>
        <w:t>тимонопольного законодательства»</w:t>
      </w:r>
      <w:r w:rsidR="009B69B3" w:rsidRPr="00BC6743">
        <w:rPr>
          <w:rFonts w:ascii="Times New Roman" w:hAnsi="Times New Roman"/>
          <w:sz w:val="26"/>
          <w:szCs w:val="26"/>
        </w:rPr>
        <w:t xml:space="preserve"> и </w:t>
      </w:r>
      <w:r w:rsidRPr="00BC6743">
        <w:rPr>
          <w:rFonts w:ascii="Times New Roman" w:hAnsi="Times New Roman"/>
          <w:sz w:val="26"/>
          <w:szCs w:val="26"/>
        </w:rPr>
        <w:t>«</w:t>
      </w:r>
      <w:r w:rsidR="009B69B3" w:rsidRPr="00BC6743">
        <w:rPr>
          <w:rFonts w:ascii="Times New Roman" w:hAnsi="Times New Roman"/>
          <w:sz w:val="26"/>
          <w:szCs w:val="26"/>
        </w:rPr>
        <w:t xml:space="preserve">доля нормативных правовых актов </w:t>
      </w:r>
      <w:r w:rsidR="00743543">
        <w:rPr>
          <w:rFonts w:ascii="Times New Roman" w:hAnsi="Times New Roman"/>
          <w:sz w:val="26"/>
          <w:szCs w:val="26"/>
        </w:rPr>
        <w:t>Департамент</w:t>
      </w:r>
      <w:r w:rsidRPr="00BC6743">
        <w:rPr>
          <w:rFonts w:ascii="Times New Roman" w:hAnsi="Times New Roman"/>
          <w:sz w:val="26"/>
          <w:szCs w:val="26"/>
        </w:rPr>
        <w:t>а</w:t>
      </w:r>
      <w:r w:rsidR="009B69B3" w:rsidRPr="00BC6743">
        <w:rPr>
          <w:rFonts w:ascii="Times New Roman" w:hAnsi="Times New Roman"/>
          <w:sz w:val="26"/>
          <w:szCs w:val="26"/>
        </w:rPr>
        <w:t>, в которых выявлены риски нарушения ан</w:t>
      </w:r>
      <w:r w:rsidRPr="00BC6743">
        <w:rPr>
          <w:rFonts w:ascii="Times New Roman" w:hAnsi="Times New Roman"/>
          <w:sz w:val="26"/>
          <w:szCs w:val="26"/>
        </w:rPr>
        <w:t>тимонопольного законодательства»</w:t>
      </w:r>
      <w:r w:rsidR="009B69B3" w:rsidRPr="00BC6743">
        <w:rPr>
          <w:rFonts w:ascii="Times New Roman" w:hAnsi="Times New Roman"/>
          <w:sz w:val="26"/>
          <w:szCs w:val="26"/>
        </w:rPr>
        <w:t>.</w:t>
      </w:r>
    </w:p>
    <w:p w:rsidR="009B69B3" w:rsidRPr="00BC674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6743">
        <w:rPr>
          <w:rFonts w:ascii="Times New Roman" w:hAnsi="Times New Roman"/>
          <w:sz w:val="26"/>
          <w:szCs w:val="26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</w:t>
      </w:r>
      <w:hyperlink r:id="rId13" w:history="1">
        <w:r w:rsidR="00BC6743" w:rsidRPr="00BC6743">
          <w:rPr>
            <w:rFonts w:ascii="Times New Roman" w:hAnsi="Times New Roman"/>
            <w:sz w:val="26"/>
            <w:szCs w:val="26"/>
          </w:rPr>
          <w:t>подпунктами «</w:t>
        </w:r>
        <w:r w:rsidRPr="00BC6743">
          <w:rPr>
            <w:rFonts w:ascii="Times New Roman" w:hAnsi="Times New Roman"/>
            <w:sz w:val="26"/>
            <w:szCs w:val="26"/>
          </w:rPr>
          <w:t>б</w:t>
        </w:r>
      </w:hyperlink>
      <w:r w:rsidR="00BC6743" w:rsidRPr="00BC6743">
        <w:rPr>
          <w:rFonts w:ascii="Times New Roman" w:hAnsi="Times New Roman"/>
          <w:sz w:val="26"/>
          <w:szCs w:val="26"/>
        </w:rPr>
        <w:t>»</w:t>
      </w:r>
      <w:r w:rsidRPr="00BC6743">
        <w:rPr>
          <w:rFonts w:ascii="Times New Roman" w:hAnsi="Times New Roman"/>
          <w:sz w:val="26"/>
          <w:szCs w:val="26"/>
        </w:rPr>
        <w:t xml:space="preserve"> и </w:t>
      </w:r>
      <w:hyperlink r:id="rId14" w:history="1">
        <w:r w:rsidR="00BC6743" w:rsidRPr="00BC6743">
          <w:rPr>
            <w:rFonts w:ascii="Times New Roman" w:hAnsi="Times New Roman"/>
            <w:sz w:val="26"/>
            <w:szCs w:val="26"/>
          </w:rPr>
          <w:t>«в»</w:t>
        </w:r>
        <w:r w:rsidRPr="00BC6743">
          <w:rPr>
            <w:rFonts w:ascii="Times New Roman" w:hAnsi="Times New Roman"/>
            <w:sz w:val="26"/>
            <w:szCs w:val="26"/>
          </w:rPr>
          <w:t xml:space="preserve"> пункта 15</w:t>
        </w:r>
      </w:hyperlink>
      <w:r w:rsidRPr="00BC6743">
        <w:rPr>
          <w:rFonts w:ascii="Times New Roman" w:hAnsi="Times New Roman"/>
          <w:sz w:val="26"/>
          <w:szCs w:val="26"/>
        </w:rPr>
        <w:t xml:space="preserve"> Методических рекомендаций.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69B3">
        <w:rPr>
          <w:rFonts w:ascii="Times New Roman" w:hAnsi="Times New Roman"/>
          <w:sz w:val="26"/>
          <w:szCs w:val="26"/>
        </w:rPr>
        <w:t xml:space="preserve">При эффективном проведении мероприятий по анализу нормативных правовых актов </w:t>
      </w:r>
      <w:r w:rsidR="00814545">
        <w:rPr>
          <w:rFonts w:ascii="Times New Roman" w:hAnsi="Times New Roman"/>
          <w:sz w:val="26"/>
          <w:szCs w:val="26"/>
        </w:rPr>
        <w:t>Департамента культуры, спорта и туризма</w:t>
      </w:r>
      <w:r w:rsidR="000506B2">
        <w:rPr>
          <w:rFonts w:ascii="Times New Roman" w:hAnsi="Times New Roman"/>
          <w:sz w:val="26"/>
          <w:szCs w:val="26"/>
        </w:rPr>
        <w:t xml:space="preserve"> Чукотского автономного округа</w:t>
      </w:r>
      <w:r w:rsidRPr="009B69B3">
        <w:rPr>
          <w:rFonts w:ascii="Times New Roman" w:hAnsi="Times New Roman"/>
          <w:sz w:val="26"/>
          <w:szCs w:val="26"/>
        </w:rPr>
        <w:t xml:space="preserve">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814545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>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 w:rsidRPr="009B69B3">
        <w:rPr>
          <w:rFonts w:ascii="Times New Roman" w:hAnsi="Times New Roman"/>
          <w:sz w:val="26"/>
          <w:szCs w:val="26"/>
        </w:rPr>
        <w:t xml:space="preserve"> Таким образом, значение КПЭ будет тем выше, чем эффективней данные мероприятия антимонопольного комплаенса будут осуществляться уполномоченным подразделением (должностным лицом). </w:t>
      </w:r>
      <w:proofErr w:type="gramStart"/>
      <w:r w:rsidRPr="009B69B3">
        <w:rPr>
          <w:rFonts w:ascii="Times New Roman" w:hAnsi="Times New Roman"/>
          <w:sz w:val="26"/>
          <w:szCs w:val="26"/>
        </w:rPr>
        <w:t>И</w:t>
      </w:r>
      <w:proofErr w:type="gramEnd"/>
      <w:r w:rsidRPr="009B69B3">
        <w:rPr>
          <w:rFonts w:ascii="Times New Roman" w:hAnsi="Times New Roman"/>
          <w:sz w:val="26"/>
          <w:szCs w:val="26"/>
        </w:rPr>
        <w:t xml:space="preserve">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9B69B3" w:rsidRP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>11.</w:t>
      </w:r>
      <w:r w:rsidR="0063727C">
        <w:rPr>
          <w:rFonts w:ascii="Times New Roman" w:hAnsi="Times New Roman"/>
          <w:sz w:val="26"/>
          <w:szCs w:val="26"/>
        </w:rPr>
        <w:t xml:space="preserve"> Оценка значения КПЭ «</w:t>
      </w:r>
      <w:r w:rsidRPr="009B69B3">
        <w:rPr>
          <w:rFonts w:ascii="Times New Roman" w:hAnsi="Times New Roman"/>
          <w:sz w:val="26"/>
          <w:szCs w:val="26"/>
        </w:rPr>
        <w:t xml:space="preserve">сотрудников </w:t>
      </w:r>
      <w:r w:rsidR="00814545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>, с которыми были проведены обучающие мероприятия по антимонопольному законодательств</w:t>
      </w:r>
      <w:r w:rsidR="0063727C">
        <w:rPr>
          <w:rFonts w:ascii="Times New Roman" w:hAnsi="Times New Roman"/>
          <w:sz w:val="26"/>
          <w:szCs w:val="26"/>
        </w:rPr>
        <w:t xml:space="preserve">у и антимонопольному </w:t>
      </w:r>
      <w:proofErr w:type="spellStart"/>
      <w:r w:rsidR="0063727C">
        <w:rPr>
          <w:rFonts w:ascii="Times New Roman" w:hAnsi="Times New Roman"/>
          <w:sz w:val="26"/>
          <w:szCs w:val="26"/>
        </w:rPr>
        <w:t>комплаенсу</w:t>
      </w:r>
      <w:proofErr w:type="spellEnd"/>
      <w:r w:rsidR="0063727C">
        <w:rPr>
          <w:rFonts w:ascii="Times New Roman" w:hAnsi="Times New Roman"/>
          <w:sz w:val="26"/>
          <w:szCs w:val="26"/>
        </w:rPr>
        <w:t>»</w:t>
      </w:r>
      <w:r w:rsidRPr="009B69B3">
        <w:rPr>
          <w:rFonts w:ascii="Times New Roman" w:hAnsi="Times New Roman"/>
          <w:sz w:val="26"/>
          <w:szCs w:val="26"/>
        </w:rPr>
        <w:t>.</w:t>
      </w:r>
    </w:p>
    <w:p w:rsidR="009B69B3" w:rsidRPr="00DA415A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Консультирование и обучение служащих </w:t>
      </w:r>
      <w:r w:rsidR="000C3B90">
        <w:rPr>
          <w:rFonts w:ascii="Times New Roman" w:hAnsi="Times New Roman"/>
          <w:sz w:val="26"/>
          <w:szCs w:val="26"/>
        </w:rPr>
        <w:t xml:space="preserve">Департамента </w:t>
      </w:r>
      <w:r w:rsidRPr="009B69B3">
        <w:rPr>
          <w:rFonts w:ascii="Times New Roman" w:hAnsi="Times New Roman"/>
          <w:sz w:val="26"/>
          <w:szCs w:val="26"/>
        </w:rPr>
        <w:t xml:space="preserve">по вопросам, связанным с соблюдением </w:t>
      </w:r>
      <w:r w:rsidRPr="00DA415A">
        <w:rPr>
          <w:rFonts w:ascii="Times New Roman" w:hAnsi="Times New Roman"/>
          <w:sz w:val="26"/>
          <w:szCs w:val="26"/>
        </w:rPr>
        <w:t xml:space="preserve">антимонопольного законодательства и антимонопольным </w:t>
      </w:r>
      <w:proofErr w:type="spellStart"/>
      <w:r w:rsidRPr="00DA415A">
        <w:rPr>
          <w:rFonts w:ascii="Times New Roman" w:hAnsi="Times New Roman"/>
          <w:sz w:val="26"/>
          <w:szCs w:val="26"/>
        </w:rPr>
        <w:t>комплаенсом</w:t>
      </w:r>
      <w:proofErr w:type="spellEnd"/>
      <w:r w:rsidRPr="00DA415A">
        <w:rPr>
          <w:rFonts w:ascii="Times New Roman" w:hAnsi="Times New Roman"/>
          <w:sz w:val="26"/>
          <w:szCs w:val="26"/>
        </w:rPr>
        <w:t xml:space="preserve">, отнесено к компетенции уполномоченного подразделения (должностного лица) согласно </w:t>
      </w:r>
      <w:hyperlink r:id="rId15" w:history="1">
        <w:r w:rsidRPr="00DA415A">
          <w:rPr>
            <w:rFonts w:ascii="Times New Roman" w:hAnsi="Times New Roman"/>
            <w:sz w:val="26"/>
            <w:szCs w:val="26"/>
          </w:rPr>
          <w:t xml:space="preserve">подпункту </w:t>
        </w:r>
        <w:r w:rsidR="00DA415A" w:rsidRPr="00DA415A">
          <w:rPr>
            <w:rFonts w:ascii="Times New Roman" w:hAnsi="Times New Roman"/>
            <w:sz w:val="26"/>
            <w:szCs w:val="26"/>
          </w:rPr>
          <w:t>«г»</w:t>
        </w:r>
        <w:r w:rsidRPr="00DA415A">
          <w:rPr>
            <w:rFonts w:ascii="Times New Roman" w:hAnsi="Times New Roman"/>
            <w:sz w:val="26"/>
            <w:szCs w:val="26"/>
          </w:rPr>
          <w:t xml:space="preserve"> пункта 11</w:t>
        </w:r>
      </w:hyperlink>
      <w:r w:rsidRPr="00DA415A">
        <w:rPr>
          <w:rFonts w:ascii="Times New Roman" w:hAnsi="Times New Roman"/>
          <w:sz w:val="26"/>
          <w:szCs w:val="26"/>
        </w:rPr>
        <w:t xml:space="preserve"> Методических рекомендаций, и направлено на профилактику нарушений требований антимонопольного законодательства в деятельности федерального органа исполнительной власти. В том числе от эффективности работы уполномоченного подразделения (должностного лица) по данному направлению напрямую зависит возможность достижения целей Национального плана, предусмотренных </w:t>
      </w:r>
      <w:hyperlink r:id="rId16" w:history="1">
        <w:r w:rsidR="00DA415A" w:rsidRPr="00DA415A">
          <w:rPr>
            <w:rFonts w:ascii="Times New Roman" w:hAnsi="Times New Roman"/>
            <w:sz w:val="26"/>
            <w:szCs w:val="26"/>
          </w:rPr>
          <w:t>подпунктом «б»</w:t>
        </w:r>
        <w:r w:rsidRPr="00DA415A">
          <w:rPr>
            <w:rFonts w:ascii="Times New Roman" w:hAnsi="Times New Roman"/>
            <w:sz w:val="26"/>
            <w:szCs w:val="26"/>
          </w:rPr>
          <w:t xml:space="preserve"> пункта 1</w:t>
        </w:r>
      </w:hyperlink>
      <w:r w:rsidRPr="00DA415A">
        <w:rPr>
          <w:rFonts w:ascii="Times New Roman" w:hAnsi="Times New Roman"/>
          <w:sz w:val="26"/>
          <w:szCs w:val="26"/>
        </w:rPr>
        <w:t xml:space="preserve"> Национального плана.</w:t>
      </w:r>
    </w:p>
    <w:p w:rsidR="009B69B3" w:rsidRDefault="009B69B3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B69B3">
        <w:rPr>
          <w:rFonts w:ascii="Times New Roman" w:hAnsi="Times New Roman"/>
          <w:sz w:val="26"/>
          <w:szCs w:val="26"/>
        </w:rPr>
        <w:t xml:space="preserve">Расчет данного показателя предусматривает определение сотрудников </w:t>
      </w:r>
      <w:r w:rsidR="000C3B90">
        <w:rPr>
          <w:rFonts w:ascii="Times New Roman" w:hAnsi="Times New Roman"/>
          <w:sz w:val="26"/>
          <w:szCs w:val="26"/>
        </w:rPr>
        <w:t>Департамента</w:t>
      </w:r>
      <w:r w:rsidRPr="009B69B3">
        <w:rPr>
          <w:rFonts w:ascii="Times New Roman" w:hAnsi="Times New Roman"/>
          <w:sz w:val="26"/>
          <w:szCs w:val="26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9B69B3">
        <w:rPr>
          <w:rFonts w:ascii="Times New Roman" w:hAnsi="Times New Roman"/>
          <w:sz w:val="26"/>
          <w:szCs w:val="26"/>
        </w:rPr>
        <w:t>комплаенсу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. Высокое значение количества сотрудников, с которыми были проведены обучающие мероприятия по антимонопольному </w:t>
      </w:r>
      <w:r w:rsidRPr="009B69B3">
        <w:rPr>
          <w:rFonts w:ascii="Times New Roman" w:hAnsi="Times New Roman"/>
          <w:sz w:val="26"/>
          <w:szCs w:val="26"/>
        </w:rPr>
        <w:lastRenderedPageBreak/>
        <w:t xml:space="preserve">законодательству и антимонопольному </w:t>
      </w:r>
      <w:proofErr w:type="spellStart"/>
      <w:r w:rsidRPr="009B69B3">
        <w:rPr>
          <w:rFonts w:ascii="Times New Roman" w:hAnsi="Times New Roman"/>
          <w:sz w:val="26"/>
          <w:szCs w:val="26"/>
        </w:rPr>
        <w:t>комплаенсу</w:t>
      </w:r>
      <w:proofErr w:type="spellEnd"/>
      <w:r w:rsidRPr="009B69B3">
        <w:rPr>
          <w:rFonts w:ascii="Times New Roman" w:hAnsi="Times New Roman"/>
          <w:sz w:val="26"/>
          <w:szCs w:val="26"/>
        </w:rPr>
        <w:t xml:space="preserve"> (числитель), обеспечивает высокое значение КПЭ.</w:t>
      </w: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0485" w:rsidRPr="009B69B3" w:rsidRDefault="00BA0485" w:rsidP="009B69B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996" w:type="dxa"/>
        <w:tblLook w:val="00A0" w:firstRow="1" w:lastRow="0" w:firstColumn="1" w:lastColumn="0" w:noHBand="0" w:noVBand="0"/>
      </w:tblPr>
      <w:tblGrid>
        <w:gridCol w:w="5211"/>
        <w:gridCol w:w="4785"/>
      </w:tblGrid>
      <w:tr w:rsidR="002B2D6C" w:rsidRPr="00011503" w:rsidTr="002B2D6C">
        <w:tc>
          <w:tcPr>
            <w:tcW w:w="5211" w:type="dxa"/>
          </w:tcPr>
          <w:p w:rsidR="002B2D6C" w:rsidRPr="00011503" w:rsidRDefault="002B2D6C" w:rsidP="002B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2B2D6C" w:rsidRPr="00011503" w:rsidRDefault="002B2D6C" w:rsidP="002B2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2B2D6C" w:rsidRPr="00011503" w:rsidRDefault="002B2D6C" w:rsidP="002B2D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1503"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>Департамента культуры, спорта и туризма Чукотского автономного округа</w:t>
            </w:r>
            <w:r w:rsidRPr="000115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2D6C" w:rsidRPr="00011503" w:rsidRDefault="002B2D6C" w:rsidP="00BF08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7291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F08F7">
              <w:rPr>
                <w:rFonts w:ascii="Times New Roman" w:hAnsi="Times New Roman"/>
                <w:sz w:val="26"/>
                <w:szCs w:val="26"/>
              </w:rPr>
              <w:t>30.12</w:t>
            </w:r>
            <w:r>
              <w:rPr>
                <w:rFonts w:ascii="Times New Roman" w:hAnsi="Times New Roman"/>
                <w:sz w:val="26"/>
                <w:szCs w:val="26"/>
              </w:rPr>
              <w:t>.2022</w:t>
            </w:r>
            <w:r w:rsidRPr="00467291">
              <w:rPr>
                <w:rFonts w:ascii="Times New Roman" w:hAnsi="Times New Roman"/>
                <w:sz w:val="26"/>
                <w:szCs w:val="26"/>
              </w:rPr>
              <w:t xml:space="preserve"> г. № 01-10/</w:t>
            </w:r>
            <w:r w:rsidR="00BF08F7">
              <w:rPr>
                <w:rFonts w:ascii="Times New Roman" w:hAnsi="Times New Roman"/>
                <w:sz w:val="26"/>
                <w:szCs w:val="26"/>
              </w:rPr>
              <w:t>336</w:t>
            </w:r>
          </w:p>
        </w:tc>
      </w:tr>
    </w:tbl>
    <w:p w:rsidR="002B2D6C" w:rsidRDefault="002B2D6C" w:rsidP="006304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2B2D6C" w:rsidRDefault="002B2D6C" w:rsidP="002B2D6C">
      <w:pPr>
        <w:rPr>
          <w:rFonts w:ascii="Times New Roman" w:hAnsi="Times New Roman"/>
        </w:rPr>
      </w:pPr>
    </w:p>
    <w:p w:rsidR="002B2D6C" w:rsidRPr="002B2D6C" w:rsidRDefault="002B2D6C" w:rsidP="002B2D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2B2D6C">
        <w:rPr>
          <w:rFonts w:ascii="Times New Roman" w:eastAsia="Arial Unicode MS" w:hAnsi="Times New Roman"/>
          <w:b/>
          <w:sz w:val="26"/>
          <w:szCs w:val="26"/>
        </w:rPr>
        <w:t>Ключевые показатели</w:t>
      </w:r>
    </w:p>
    <w:p w:rsidR="002B2D6C" w:rsidRDefault="002B2D6C" w:rsidP="002B2D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2B2D6C">
        <w:rPr>
          <w:rFonts w:ascii="Times New Roman" w:eastAsia="Arial Unicode MS" w:hAnsi="Times New Roman"/>
          <w:b/>
          <w:sz w:val="26"/>
          <w:szCs w:val="26"/>
        </w:rPr>
        <w:t xml:space="preserve">эффективности функционирования антимонопольного комплаенса в Департаменте </w:t>
      </w:r>
      <w:r>
        <w:rPr>
          <w:rFonts w:ascii="Times New Roman" w:eastAsia="Arial Unicode MS" w:hAnsi="Times New Roman"/>
          <w:b/>
          <w:sz w:val="26"/>
          <w:szCs w:val="26"/>
        </w:rPr>
        <w:t>культуры, спорта и туризма</w:t>
      </w:r>
      <w:r w:rsidRPr="002B2D6C">
        <w:rPr>
          <w:rFonts w:ascii="Times New Roman" w:eastAsia="Arial Unicode MS" w:hAnsi="Times New Roman"/>
          <w:b/>
          <w:sz w:val="26"/>
          <w:szCs w:val="26"/>
        </w:rPr>
        <w:t xml:space="preserve"> Чукотского автономного округа</w:t>
      </w:r>
    </w:p>
    <w:p w:rsidR="002B2D6C" w:rsidRDefault="002B2D6C" w:rsidP="002B2D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:rsidR="002B2D6C" w:rsidRPr="002B2D6C" w:rsidRDefault="002B2D6C" w:rsidP="002B2D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:rsidR="002B2D6C" w:rsidRPr="002B2D6C" w:rsidRDefault="007F092C" w:rsidP="007F092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1. </w:t>
      </w:r>
      <w:r w:rsidR="002B2D6C" w:rsidRPr="002B2D6C">
        <w:rPr>
          <w:rFonts w:ascii="Times New Roman" w:eastAsia="Arial Unicode MS" w:hAnsi="Times New Roman"/>
          <w:sz w:val="26"/>
          <w:szCs w:val="26"/>
        </w:rPr>
        <w:t>Коэффициент снижения количества нарушений антимонопольного законодательства со стороны Департамента по сравнению с предыдущим годом.</w:t>
      </w:r>
    </w:p>
    <w:p w:rsidR="002B2D6C" w:rsidRPr="002B2D6C" w:rsidRDefault="002B2D6C" w:rsidP="002B2D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bookmarkStart w:id="1" w:name="sub_102"/>
      <w:r w:rsidRPr="002B2D6C">
        <w:rPr>
          <w:rFonts w:ascii="Times New Roman" w:eastAsia="Arial Unicode MS" w:hAnsi="Times New Roman"/>
          <w:sz w:val="26"/>
          <w:szCs w:val="26"/>
        </w:rPr>
        <w:tab/>
        <w:t>2. Доля проектов правовых актов Департамента, в которых выявлены риски нарушения антимонопольного законодательства.</w:t>
      </w:r>
    </w:p>
    <w:p w:rsidR="002B2D6C" w:rsidRPr="002B2D6C" w:rsidRDefault="002B2D6C" w:rsidP="002B2D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bookmarkStart w:id="2" w:name="sub_103"/>
      <w:bookmarkEnd w:id="1"/>
      <w:r w:rsidRPr="002B2D6C">
        <w:rPr>
          <w:rFonts w:ascii="Times New Roman" w:eastAsia="Arial Unicode MS" w:hAnsi="Times New Roman"/>
          <w:sz w:val="26"/>
          <w:szCs w:val="26"/>
        </w:rPr>
        <w:tab/>
        <w:t>3. Доля правовых актов Департамента, в которых выявлены риски нарушения антимонопольного законодательства.</w:t>
      </w:r>
    </w:p>
    <w:bookmarkEnd w:id="2"/>
    <w:p w:rsidR="002B2D6C" w:rsidRPr="002B2D6C" w:rsidRDefault="002B2D6C" w:rsidP="002B2D6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2B2D6C">
        <w:rPr>
          <w:rFonts w:ascii="Times New Roman" w:eastAsia="Arial Unicode MS" w:hAnsi="Times New Roman"/>
          <w:sz w:val="26"/>
          <w:szCs w:val="26"/>
        </w:rPr>
        <w:tab/>
        <w:t xml:space="preserve">4. Доля сотрудников Департамента,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2B2D6C">
        <w:rPr>
          <w:rFonts w:ascii="Times New Roman" w:eastAsia="Arial Unicode MS" w:hAnsi="Times New Roman"/>
          <w:sz w:val="26"/>
          <w:szCs w:val="26"/>
        </w:rPr>
        <w:t>комплаенсу</w:t>
      </w:r>
      <w:proofErr w:type="spellEnd"/>
      <w:r w:rsidRPr="002B2D6C">
        <w:rPr>
          <w:rFonts w:ascii="Times New Roman" w:eastAsia="Arial Unicode MS" w:hAnsi="Times New Roman"/>
          <w:sz w:val="26"/>
          <w:szCs w:val="26"/>
        </w:rPr>
        <w:t>.</w:t>
      </w:r>
    </w:p>
    <w:p w:rsidR="009B69B3" w:rsidRPr="002B2D6C" w:rsidRDefault="009B69B3" w:rsidP="002B2D6C">
      <w:pPr>
        <w:jc w:val="center"/>
        <w:rPr>
          <w:rFonts w:ascii="Times New Roman" w:hAnsi="Times New Roman"/>
        </w:rPr>
      </w:pPr>
    </w:p>
    <w:sectPr w:rsidR="009B69B3" w:rsidRPr="002B2D6C" w:rsidSect="003A41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9A7"/>
    <w:multiLevelType w:val="multilevel"/>
    <w:tmpl w:val="EF2856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4" w:hanging="885"/>
      </w:pPr>
      <w:rPr>
        <w:rFonts w:ascii="Times New Roman" w:eastAsia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594" w:hanging="885"/>
      </w:pPr>
      <w:rPr>
        <w:rFonts w:ascii="Times New Roman" w:eastAsia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hint="default"/>
        <w:b w:val="0"/>
        <w:sz w:val="26"/>
      </w:rPr>
    </w:lvl>
  </w:abstractNum>
  <w:abstractNum w:abstractNumId="1">
    <w:nsid w:val="623F5DD7"/>
    <w:multiLevelType w:val="hybridMultilevel"/>
    <w:tmpl w:val="E768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2036B2"/>
    <w:multiLevelType w:val="hybridMultilevel"/>
    <w:tmpl w:val="8C4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D"/>
    <w:rsid w:val="000072B8"/>
    <w:rsid w:val="00011503"/>
    <w:rsid w:val="00015274"/>
    <w:rsid w:val="000506B2"/>
    <w:rsid w:val="00055653"/>
    <w:rsid w:val="0006222C"/>
    <w:rsid w:val="00064B20"/>
    <w:rsid w:val="00065D81"/>
    <w:rsid w:val="00073CA1"/>
    <w:rsid w:val="000800D4"/>
    <w:rsid w:val="0008185B"/>
    <w:rsid w:val="000C3B90"/>
    <w:rsid w:val="000C3DD0"/>
    <w:rsid w:val="000C49BD"/>
    <w:rsid w:val="000E717C"/>
    <w:rsid w:val="000E74BB"/>
    <w:rsid w:val="00110A74"/>
    <w:rsid w:val="00114C53"/>
    <w:rsid w:val="00134578"/>
    <w:rsid w:val="001431BC"/>
    <w:rsid w:val="001448E6"/>
    <w:rsid w:val="00150A30"/>
    <w:rsid w:val="00152452"/>
    <w:rsid w:val="00171BD4"/>
    <w:rsid w:val="00173BB5"/>
    <w:rsid w:val="00177AA7"/>
    <w:rsid w:val="00187CD2"/>
    <w:rsid w:val="001A25FD"/>
    <w:rsid w:val="001B6B89"/>
    <w:rsid w:val="001D5BBE"/>
    <w:rsid w:val="001E2874"/>
    <w:rsid w:val="001E6507"/>
    <w:rsid w:val="00233C54"/>
    <w:rsid w:val="00242952"/>
    <w:rsid w:val="0025538B"/>
    <w:rsid w:val="00265E4B"/>
    <w:rsid w:val="00286E72"/>
    <w:rsid w:val="002B2D6C"/>
    <w:rsid w:val="002D409B"/>
    <w:rsid w:val="002F1BBE"/>
    <w:rsid w:val="002F49AC"/>
    <w:rsid w:val="00336986"/>
    <w:rsid w:val="00360A19"/>
    <w:rsid w:val="00361E10"/>
    <w:rsid w:val="003A41EE"/>
    <w:rsid w:val="003B63CF"/>
    <w:rsid w:val="003D14E1"/>
    <w:rsid w:val="003D6855"/>
    <w:rsid w:val="003E1343"/>
    <w:rsid w:val="003E669C"/>
    <w:rsid w:val="003F6583"/>
    <w:rsid w:val="00400933"/>
    <w:rsid w:val="004053EF"/>
    <w:rsid w:val="00412B17"/>
    <w:rsid w:val="004139D7"/>
    <w:rsid w:val="00467291"/>
    <w:rsid w:val="004A281B"/>
    <w:rsid w:val="004B183F"/>
    <w:rsid w:val="004B19F5"/>
    <w:rsid w:val="004D110F"/>
    <w:rsid w:val="004F2729"/>
    <w:rsid w:val="00501464"/>
    <w:rsid w:val="00503B11"/>
    <w:rsid w:val="0052552F"/>
    <w:rsid w:val="0053343A"/>
    <w:rsid w:val="005501FD"/>
    <w:rsid w:val="00597589"/>
    <w:rsid w:val="005B4E0F"/>
    <w:rsid w:val="005C2535"/>
    <w:rsid w:val="005E2429"/>
    <w:rsid w:val="005E38CC"/>
    <w:rsid w:val="005F5B1A"/>
    <w:rsid w:val="00611EA2"/>
    <w:rsid w:val="006145BF"/>
    <w:rsid w:val="00630423"/>
    <w:rsid w:val="0063084C"/>
    <w:rsid w:val="0063727C"/>
    <w:rsid w:val="0068430B"/>
    <w:rsid w:val="006922AA"/>
    <w:rsid w:val="006A1EB6"/>
    <w:rsid w:val="006A3ED4"/>
    <w:rsid w:val="006A480F"/>
    <w:rsid w:val="006C3BF2"/>
    <w:rsid w:val="006D4E81"/>
    <w:rsid w:val="006E46DB"/>
    <w:rsid w:val="006E4E5F"/>
    <w:rsid w:val="00743543"/>
    <w:rsid w:val="007579DE"/>
    <w:rsid w:val="00775552"/>
    <w:rsid w:val="007949DE"/>
    <w:rsid w:val="007B55C7"/>
    <w:rsid w:val="007E3ED0"/>
    <w:rsid w:val="007E42B6"/>
    <w:rsid w:val="007E5336"/>
    <w:rsid w:val="007F092C"/>
    <w:rsid w:val="008076D3"/>
    <w:rsid w:val="00811B1A"/>
    <w:rsid w:val="00814545"/>
    <w:rsid w:val="008437D8"/>
    <w:rsid w:val="00844801"/>
    <w:rsid w:val="00863D52"/>
    <w:rsid w:val="00886013"/>
    <w:rsid w:val="00890EDC"/>
    <w:rsid w:val="008B7FE8"/>
    <w:rsid w:val="008D0828"/>
    <w:rsid w:val="008D5E6C"/>
    <w:rsid w:val="008E270C"/>
    <w:rsid w:val="008E6BDD"/>
    <w:rsid w:val="00906ECA"/>
    <w:rsid w:val="00921A73"/>
    <w:rsid w:val="00961954"/>
    <w:rsid w:val="00984F96"/>
    <w:rsid w:val="00992A5A"/>
    <w:rsid w:val="009B69B3"/>
    <w:rsid w:val="009D19B2"/>
    <w:rsid w:val="009D1E91"/>
    <w:rsid w:val="009D4A53"/>
    <w:rsid w:val="009D6410"/>
    <w:rsid w:val="009E1124"/>
    <w:rsid w:val="009F4489"/>
    <w:rsid w:val="00A03901"/>
    <w:rsid w:val="00A27A75"/>
    <w:rsid w:val="00A42799"/>
    <w:rsid w:val="00A8506D"/>
    <w:rsid w:val="00AB6FE5"/>
    <w:rsid w:val="00B042CC"/>
    <w:rsid w:val="00B06929"/>
    <w:rsid w:val="00B15D2C"/>
    <w:rsid w:val="00B166D7"/>
    <w:rsid w:val="00B26135"/>
    <w:rsid w:val="00B2746F"/>
    <w:rsid w:val="00B4366D"/>
    <w:rsid w:val="00B46906"/>
    <w:rsid w:val="00B60C91"/>
    <w:rsid w:val="00B70B4C"/>
    <w:rsid w:val="00B77103"/>
    <w:rsid w:val="00B9139D"/>
    <w:rsid w:val="00B97FFC"/>
    <w:rsid w:val="00BA0485"/>
    <w:rsid w:val="00BA081D"/>
    <w:rsid w:val="00BC6743"/>
    <w:rsid w:val="00BD6CEC"/>
    <w:rsid w:val="00BF08F7"/>
    <w:rsid w:val="00C20C73"/>
    <w:rsid w:val="00C332C2"/>
    <w:rsid w:val="00C41F3C"/>
    <w:rsid w:val="00C57DFC"/>
    <w:rsid w:val="00C63752"/>
    <w:rsid w:val="00C7635E"/>
    <w:rsid w:val="00CB0B49"/>
    <w:rsid w:val="00CB600A"/>
    <w:rsid w:val="00CB7193"/>
    <w:rsid w:val="00CC1FC4"/>
    <w:rsid w:val="00CD6FE8"/>
    <w:rsid w:val="00CE6CF1"/>
    <w:rsid w:val="00D11C60"/>
    <w:rsid w:val="00D203FB"/>
    <w:rsid w:val="00D26060"/>
    <w:rsid w:val="00D26AD6"/>
    <w:rsid w:val="00D30919"/>
    <w:rsid w:val="00D3634E"/>
    <w:rsid w:val="00D377AF"/>
    <w:rsid w:val="00D42A5D"/>
    <w:rsid w:val="00D86DDE"/>
    <w:rsid w:val="00D91A88"/>
    <w:rsid w:val="00D9549F"/>
    <w:rsid w:val="00DA0C97"/>
    <w:rsid w:val="00DA415A"/>
    <w:rsid w:val="00DB10DC"/>
    <w:rsid w:val="00DB160F"/>
    <w:rsid w:val="00DB7DBA"/>
    <w:rsid w:val="00DD54CC"/>
    <w:rsid w:val="00E000B0"/>
    <w:rsid w:val="00E044DE"/>
    <w:rsid w:val="00E42F2A"/>
    <w:rsid w:val="00E630AD"/>
    <w:rsid w:val="00E65CA1"/>
    <w:rsid w:val="00E671B1"/>
    <w:rsid w:val="00EB7B32"/>
    <w:rsid w:val="00EE27DF"/>
    <w:rsid w:val="00EF0EDC"/>
    <w:rsid w:val="00EF7465"/>
    <w:rsid w:val="00F05471"/>
    <w:rsid w:val="00F45BDC"/>
    <w:rsid w:val="00FD2F71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3042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30423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30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50A30"/>
    <w:rPr>
      <w:rFonts w:eastAsia="Times New Roman"/>
    </w:rPr>
  </w:style>
  <w:style w:type="paragraph" w:customStyle="1" w:styleId="1">
    <w:name w:val="Абзац списка1"/>
    <w:basedOn w:val="a"/>
    <w:uiPriority w:val="99"/>
    <w:rsid w:val="00150A30"/>
    <w:pPr>
      <w:spacing w:after="200" w:line="276" w:lineRule="auto"/>
      <w:ind w:left="720"/>
    </w:pPr>
  </w:style>
  <w:style w:type="character" w:customStyle="1" w:styleId="a7">
    <w:name w:val="Гипертекстовая ссылка"/>
    <w:basedOn w:val="a0"/>
    <w:uiPriority w:val="99"/>
    <w:rsid w:val="00150A30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8E270C"/>
    <w:pPr>
      <w:ind w:left="720"/>
      <w:contextualSpacing/>
    </w:pPr>
  </w:style>
  <w:style w:type="paragraph" w:customStyle="1" w:styleId="ConsPlusNormal">
    <w:name w:val="ConsPlusNormal"/>
    <w:uiPriority w:val="99"/>
    <w:rsid w:val="00080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0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F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3042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30423"/>
    <w:rPr>
      <w:rFonts w:ascii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30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50A30"/>
    <w:rPr>
      <w:rFonts w:eastAsia="Times New Roman"/>
    </w:rPr>
  </w:style>
  <w:style w:type="paragraph" w:customStyle="1" w:styleId="1">
    <w:name w:val="Абзац списка1"/>
    <w:basedOn w:val="a"/>
    <w:uiPriority w:val="99"/>
    <w:rsid w:val="00150A30"/>
    <w:pPr>
      <w:spacing w:after="200" w:line="276" w:lineRule="auto"/>
      <w:ind w:left="720"/>
    </w:pPr>
  </w:style>
  <w:style w:type="character" w:customStyle="1" w:styleId="a7">
    <w:name w:val="Гипертекстовая ссылка"/>
    <w:basedOn w:val="a0"/>
    <w:uiPriority w:val="99"/>
    <w:rsid w:val="00150A30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8E270C"/>
    <w:pPr>
      <w:ind w:left="720"/>
      <w:contextualSpacing/>
    </w:pPr>
  </w:style>
  <w:style w:type="paragraph" w:customStyle="1" w:styleId="ConsPlusNormal">
    <w:name w:val="ConsPlusNormal"/>
    <w:uiPriority w:val="99"/>
    <w:rsid w:val="00080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30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9384&amp;date=17.12.2019&amp;dst=100105&amp;fld=134" TargetMode="External"/><Relationship Id="rId13" Type="http://schemas.openxmlformats.org/officeDocument/2006/relationships/hyperlink" Target="https://login.consultant.ru/link/?req=doc&amp;base=LAW&amp;n=309384&amp;date=17.12.2019&amp;dst=100071&amp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1739482.0" TargetMode="External"/><Relationship Id="rId12" Type="http://schemas.openxmlformats.org/officeDocument/2006/relationships/hyperlink" Target="https://login.consultant.ru/link/?req=doc&amp;base=LAW&amp;n=285796&amp;date=17.12.2019&amp;dst=100057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85796&amp;date=17.12.2019&amp;dst=100060&amp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09384&amp;date=17.12.2019&amp;dst=100056&amp;fld=134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eq=doc&amp;base=LAW&amp;n=309384&amp;date=17.12.2019&amp;dst=100072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1320</Words>
  <Characters>11392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ДОКиС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Лугачёва Ольга Юрьевна</cp:lastModifiedBy>
  <cp:revision>3</cp:revision>
  <cp:lastPrinted>2023-01-19T00:34:00Z</cp:lastPrinted>
  <dcterms:created xsi:type="dcterms:W3CDTF">2023-01-19T00:29:00Z</dcterms:created>
  <dcterms:modified xsi:type="dcterms:W3CDTF">2023-01-19T00:35:00Z</dcterms:modified>
</cp:coreProperties>
</file>