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BB" w:rsidRDefault="009061BB" w:rsidP="009061BB">
      <w:pPr>
        <w:jc w:val="center"/>
        <w:rPr>
          <w:sz w:val="28"/>
          <w:szCs w:val="28"/>
        </w:rPr>
      </w:pPr>
      <w:r>
        <w:rPr>
          <w:sz w:val="28"/>
          <w:szCs w:val="28"/>
        </w:rPr>
        <w:t>Доклад</w:t>
      </w:r>
    </w:p>
    <w:p w:rsidR="009061BB" w:rsidRDefault="009061BB" w:rsidP="009061BB">
      <w:pPr>
        <w:jc w:val="center"/>
        <w:rPr>
          <w:sz w:val="28"/>
          <w:szCs w:val="28"/>
        </w:rPr>
      </w:pPr>
      <w:r>
        <w:rPr>
          <w:sz w:val="28"/>
          <w:szCs w:val="28"/>
        </w:rPr>
        <w:t>об осуществлении регионального государственного контроля (надзора)</w:t>
      </w:r>
    </w:p>
    <w:p w:rsidR="009061BB" w:rsidRDefault="009061BB" w:rsidP="009061BB">
      <w:pPr>
        <w:jc w:val="center"/>
        <w:rPr>
          <w:sz w:val="28"/>
          <w:szCs w:val="28"/>
        </w:rPr>
      </w:pPr>
      <w:r>
        <w:rPr>
          <w:sz w:val="28"/>
          <w:szCs w:val="28"/>
        </w:rPr>
        <w:t xml:space="preserve"> Комитета государственного регулирования цен и тарифов </w:t>
      </w:r>
    </w:p>
    <w:p w:rsidR="009061BB" w:rsidRDefault="009061BB" w:rsidP="009061BB">
      <w:pPr>
        <w:jc w:val="center"/>
        <w:rPr>
          <w:sz w:val="28"/>
          <w:szCs w:val="28"/>
        </w:rPr>
      </w:pPr>
      <w:r>
        <w:rPr>
          <w:sz w:val="28"/>
          <w:szCs w:val="28"/>
        </w:rPr>
        <w:t>Чукотского автономного округа за 201</w:t>
      </w:r>
      <w:r>
        <w:rPr>
          <w:sz w:val="28"/>
          <w:szCs w:val="28"/>
        </w:rPr>
        <w:t>6</w:t>
      </w:r>
      <w:r>
        <w:rPr>
          <w:sz w:val="28"/>
          <w:szCs w:val="28"/>
        </w:rPr>
        <w:t xml:space="preserve"> год</w:t>
      </w:r>
    </w:p>
    <w:p w:rsidR="009061BB" w:rsidRDefault="009061BB" w:rsidP="009061BB">
      <w:pPr>
        <w:jc w:val="center"/>
        <w:rPr>
          <w:sz w:val="28"/>
          <w:szCs w:val="28"/>
        </w:rPr>
      </w:pPr>
    </w:p>
    <w:p w:rsidR="009061BB" w:rsidRDefault="009061BB" w:rsidP="009061BB">
      <w:pPr>
        <w:pStyle w:val="ConsPlusNormal"/>
        <w:numPr>
          <w:ilvl w:val="0"/>
          <w:numId w:val="1"/>
        </w:numPr>
        <w:jc w:val="center"/>
        <w:rPr>
          <w:rFonts w:ascii="Times New Roman" w:hAnsi="Times New Roman" w:cs="Times New Roman"/>
          <w:sz w:val="28"/>
          <w:szCs w:val="28"/>
        </w:rPr>
      </w:pPr>
      <w:r>
        <w:rPr>
          <w:rFonts w:ascii="Times New Roman" w:hAnsi="Times New Roman" w:cs="Times New Roman"/>
          <w:sz w:val="28"/>
          <w:szCs w:val="28"/>
        </w:rPr>
        <w:t>Состояние нормативно-правового регулирования</w:t>
      </w:r>
    </w:p>
    <w:p w:rsidR="009061BB" w:rsidRDefault="009061BB" w:rsidP="00CC1858">
      <w:pPr>
        <w:ind w:firstLine="567"/>
        <w:jc w:val="both"/>
        <w:rPr>
          <w:sz w:val="28"/>
          <w:szCs w:val="28"/>
        </w:rPr>
      </w:pPr>
    </w:p>
    <w:p w:rsidR="00CC1858" w:rsidRDefault="00CC1858" w:rsidP="00CC1858">
      <w:pPr>
        <w:ind w:firstLine="567"/>
        <w:jc w:val="both"/>
        <w:rPr>
          <w:sz w:val="28"/>
          <w:szCs w:val="28"/>
        </w:rPr>
      </w:pPr>
      <w:r>
        <w:rPr>
          <w:sz w:val="28"/>
          <w:szCs w:val="28"/>
        </w:rPr>
        <w:t>Комитет государственного регулирования цен и тарифов Чукотского автономного округа (далее – Комитет) является органом исполнительной власти Чукотского автономного округа, уполномоченным осуществлять на территории Чукотского автономного округа государственное регулирование цен (тарифов) на товары (услуги) в соответствии с законодательством Российской Федерации и региональный государственный контроль (надзор) в области регулируемых государством цен (тарифов).</w:t>
      </w:r>
    </w:p>
    <w:p w:rsidR="00CC1858" w:rsidRDefault="00CC1858" w:rsidP="00CC1858">
      <w:pPr>
        <w:ind w:firstLine="567"/>
        <w:jc w:val="both"/>
        <w:rPr>
          <w:sz w:val="28"/>
          <w:szCs w:val="28"/>
        </w:rPr>
      </w:pPr>
      <w:r>
        <w:rPr>
          <w:sz w:val="28"/>
          <w:szCs w:val="28"/>
        </w:rPr>
        <w:t xml:space="preserve">Региональный государственный контроль (надзор) осуществляется Комитетом в соответствии </w:t>
      </w:r>
      <w:proofErr w:type="gramStart"/>
      <w:r>
        <w:rPr>
          <w:sz w:val="28"/>
          <w:szCs w:val="28"/>
        </w:rPr>
        <w:t>с</w:t>
      </w:r>
      <w:proofErr w:type="gramEnd"/>
      <w:r>
        <w:rPr>
          <w:sz w:val="28"/>
          <w:szCs w:val="28"/>
        </w:rPr>
        <w:t>:</w:t>
      </w:r>
    </w:p>
    <w:p w:rsidR="00CC1858" w:rsidRDefault="00CC1858" w:rsidP="00CC1858">
      <w:pPr>
        <w:ind w:firstLine="709"/>
        <w:jc w:val="both"/>
        <w:rPr>
          <w:sz w:val="28"/>
          <w:szCs w:val="28"/>
        </w:rPr>
      </w:pPr>
      <w:r>
        <w:rPr>
          <w:sz w:val="28"/>
          <w:szCs w:val="28"/>
        </w:rPr>
        <w:t>Кодексом Российской Федерации об административных правонарушениях от 30 декабря 2001 года № 195-ФЗ;</w:t>
      </w:r>
    </w:p>
    <w:p w:rsidR="00CC1858" w:rsidRDefault="00CC1858" w:rsidP="00CC1858">
      <w:pPr>
        <w:ind w:firstLine="567"/>
        <w:jc w:val="both"/>
        <w:rPr>
          <w:sz w:val="28"/>
          <w:szCs w:val="28"/>
        </w:rPr>
      </w:pPr>
      <w:r>
        <w:rPr>
          <w:sz w:val="28"/>
          <w:szCs w:val="28"/>
        </w:rPr>
        <w:t xml:space="preserve"> Федеральным законом от 17 августа 1995 года № 147-ФЗ «О естественных монополиях»; </w:t>
      </w:r>
    </w:p>
    <w:p w:rsidR="00CC1858" w:rsidRDefault="00CC1858" w:rsidP="00CC1858">
      <w:pPr>
        <w:ind w:firstLine="567"/>
        <w:jc w:val="both"/>
        <w:rPr>
          <w:sz w:val="28"/>
          <w:szCs w:val="28"/>
        </w:rPr>
      </w:pPr>
      <w:r>
        <w:rPr>
          <w:sz w:val="28"/>
          <w:szCs w:val="28"/>
        </w:rPr>
        <w:t xml:space="preserve">Федеральным законом от 26 марта 2003 года № 35-ФЗ «Об электроэнергетике»; </w:t>
      </w:r>
    </w:p>
    <w:p w:rsidR="00CC1858" w:rsidRDefault="00CC1858" w:rsidP="00CC1858">
      <w:pPr>
        <w:ind w:firstLine="567"/>
        <w:jc w:val="both"/>
        <w:rPr>
          <w:sz w:val="28"/>
          <w:szCs w:val="28"/>
        </w:rPr>
      </w:pPr>
      <w:r>
        <w:rPr>
          <w:sz w:val="28"/>
          <w:szCs w:val="28"/>
        </w:rPr>
        <w:t xml:space="preserve">Федеральным законом от 30 декабря 2004 года № 210-ФЗ «Об основах регулирования тарифов организаций коммунального комплекса»; </w:t>
      </w:r>
    </w:p>
    <w:p w:rsidR="00CC1858" w:rsidRDefault="00CC1858" w:rsidP="00CC1858">
      <w:pPr>
        <w:ind w:firstLine="567"/>
        <w:jc w:val="both"/>
        <w:rPr>
          <w:sz w:val="28"/>
          <w:szCs w:val="28"/>
        </w:rPr>
      </w:pPr>
      <w:r>
        <w:rPr>
          <w:sz w:val="28"/>
          <w:szCs w:val="28"/>
        </w:rPr>
        <w:t xml:space="preserve">Федеральным законом от 27 июля 2010 года № 190-ФЗ «О теплоснабжении»; </w:t>
      </w:r>
    </w:p>
    <w:p w:rsidR="00CC1858" w:rsidRDefault="00CC1858" w:rsidP="00CC1858">
      <w:pPr>
        <w:ind w:firstLine="567"/>
        <w:jc w:val="both"/>
        <w:rPr>
          <w:sz w:val="28"/>
          <w:szCs w:val="28"/>
        </w:rPr>
      </w:pPr>
      <w:r>
        <w:rPr>
          <w:sz w:val="28"/>
          <w:szCs w:val="28"/>
        </w:rPr>
        <w:t xml:space="preserve">Федеральным законом от 1 июля 2011 года № 170-ФЗ «О техническом осмотре транспортных средств и о внесении изменений в отдельные законодательные акты Российской Федерации»; </w:t>
      </w:r>
    </w:p>
    <w:p w:rsidR="00CC1858" w:rsidRDefault="00CC1858" w:rsidP="00CC1858">
      <w:pPr>
        <w:ind w:firstLine="567"/>
        <w:jc w:val="both"/>
        <w:rPr>
          <w:sz w:val="28"/>
          <w:szCs w:val="28"/>
        </w:rPr>
      </w:pPr>
      <w:r>
        <w:rPr>
          <w:sz w:val="28"/>
          <w:szCs w:val="28"/>
        </w:rPr>
        <w:t xml:space="preserve">Федеральным законом от 7 декабря 2011 года № 416-ФЗ «О водоснабжении и водоотведении»; </w:t>
      </w:r>
    </w:p>
    <w:p w:rsidR="00CC1858" w:rsidRDefault="00CC1858" w:rsidP="00CC1858">
      <w:pPr>
        <w:ind w:firstLine="567"/>
        <w:jc w:val="both"/>
        <w:rPr>
          <w:sz w:val="28"/>
          <w:szCs w:val="28"/>
        </w:rPr>
      </w:pPr>
      <w:r>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C1858" w:rsidRDefault="00CC1858" w:rsidP="00CC1858">
      <w:pPr>
        <w:ind w:firstLine="567"/>
        <w:jc w:val="both"/>
        <w:rPr>
          <w:sz w:val="28"/>
          <w:szCs w:val="28"/>
        </w:rPr>
      </w:pPr>
      <w:r>
        <w:rPr>
          <w:sz w:val="28"/>
          <w:szCs w:val="28"/>
        </w:rPr>
        <w:t xml:space="preserve"> Указом Президента Российской Федерации от 28 февраля 1995 года № 221 «О мерах по упорядочению государственного регулирования цен (тарифов)»; </w:t>
      </w:r>
    </w:p>
    <w:p w:rsidR="00CC1858" w:rsidRDefault="00CC1858" w:rsidP="00CC1858">
      <w:pPr>
        <w:ind w:firstLine="567"/>
        <w:jc w:val="both"/>
        <w:rPr>
          <w:sz w:val="28"/>
          <w:szCs w:val="28"/>
        </w:rPr>
      </w:pPr>
      <w:r>
        <w:rPr>
          <w:sz w:val="28"/>
          <w:szCs w:val="28"/>
        </w:rPr>
        <w:t xml:space="preserve">Постановлением Правительства Российской Федерации от 23 апреля 2008 года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w:t>
      </w:r>
    </w:p>
    <w:p w:rsidR="009061BB" w:rsidRDefault="009061BB" w:rsidP="00CC1858">
      <w:pPr>
        <w:ind w:firstLine="567"/>
        <w:jc w:val="both"/>
        <w:rPr>
          <w:sz w:val="28"/>
          <w:szCs w:val="28"/>
        </w:rPr>
      </w:pPr>
      <w:r>
        <w:rPr>
          <w:sz w:val="28"/>
          <w:szCs w:val="28"/>
        </w:rPr>
        <w:lastRenderedPageBreak/>
        <w:t xml:space="preserve">Нормативные правовые акты опубликованы на сайте Правительства Чукотского АО на странице Комитета </w:t>
      </w:r>
      <w:hyperlink r:id="rId8" w:history="1">
        <w:r>
          <w:rPr>
            <w:rStyle w:val="a9"/>
            <w:sz w:val="28"/>
            <w:szCs w:val="28"/>
          </w:rPr>
          <w:t>http://чукотка.рф/power/administrative_setting/kom_cen_tarifov/</w:t>
        </w:r>
      </w:hyperlink>
      <w:r>
        <w:rPr>
          <w:sz w:val="28"/>
          <w:szCs w:val="28"/>
        </w:rPr>
        <w:t>.</w:t>
      </w:r>
    </w:p>
    <w:p w:rsidR="00F31C3C" w:rsidRDefault="00F31C3C" w:rsidP="0083213D">
      <w:pPr>
        <w:rPr>
          <w:sz w:val="32"/>
          <w:szCs w:val="32"/>
        </w:rPr>
      </w:pPr>
    </w:p>
    <w:p w:rsidR="009061BB" w:rsidRDefault="009061BB" w:rsidP="009061BB">
      <w:pPr>
        <w:pStyle w:val="aa"/>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государственного контроля (надзора)</w:t>
      </w:r>
    </w:p>
    <w:p w:rsidR="009061BB" w:rsidRDefault="009061BB" w:rsidP="00CC1858">
      <w:pPr>
        <w:pStyle w:val="aa"/>
        <w:spacing w:after="0" w:line="240" w:lineRule="auto"/>
        <w:ind w:left="0" w:firstLine="567"/>
        <w:jc w:val="both"/>
        <w:rPr>
          <w:rFonts w:ascii="Times New Roman" w:hAnsi="Times New Roman" w:cs="Times New Roman"/>
          <w:sz w:val="28"/>
          <w:szCs w:val="28"/>
        </w:rPr>
      </w:pPr>
    </w:p>
    <w:p w:rsidR="00CC1858" w:rsidRDefault="00CC1858" w:rsidP="00CC1858">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Плановые проверки проводятся Комитетом в соответствии с утвержденным по согласованию с Прокуратурой Чукотского автономного округа Планом проведения проверок юридических лиц и индивидуальных предпринимателей на 201</w:t>
      </w:r>
      <w:r w:rsidR="00DD745C">
        <w:rPr>
          <w:rFonts w:ascii="Times New Roman" w:hAnsi="Times New Roman" w:cs="Times New Roman"/>
          <w:sz w:val="28"/>
          <w:szCs w:val="28"/>
        </w:rPr>
        <w:t>6</w:t>
      </w:r>
      <w:r>
        <w:rPr>
          <w:rFonts w:ascii="Times New Roman" w:hAnsi="Times New Roman" w:cs="Times New Roman"/>
          <w:sz w:val="28"/>
          <w:szCs w:val="28"/>
        </w:rPr>
        <w:t xml:space="preserve"> год. План проверок опубликован на официальном сайте Чукотского автономного округа на странице Комитета.</w:t>
      </w:r>
    </w:p>
    <w:p w:rsidR="00CC1858" w:rsidRDefault="00CC1858" w:rsidP="00CC1858">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Плановые (документарные или выездные) контрольные мероприятия проводятся в соответствии с приказом Комитета о проведении плановой документарной или выездной проверки</w:t>
      </w:r>
    </w:p>
    <w:p w:rsidR="00CC1858" w:rsidRDefault="00CC1858" w:rsidP="00CC1858">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w:t>
      </w:r>
      <w:r w:rsidRPr="009061BB">
        <w:rPr>
          <w:rFonts w:ascii="Times New Roman" w:hAnsi="Times New Roman" w:cs="Times New Roman"/>
          <w:sz w:val="28"/>
          <w:szCs w:val="28"/>
        </w:rPr>
        <w:t xml:space="preserve">контрольного мероприятия составляется акта проверки, который оформляется по </w:t>
      </w:r>
      <w:hyperlink r:id="rId9" w:history="1">
        <w:r w:rsidRPr="009061BB">
          <w:rPr>
            <w:rStyle w:val="ab"/>
            <w:color w:val="auto"/>
            <w:sz w:val="28"/>
            <w:szCs w:val="28"/>
          </w:rPr>
          <w:t>форме</w:t>
        </w:r>
      </w:hyperlink>
      <w:r w:rsidRPr="009061BB">
        <w:rPr>
          <w:rFonts w:ascii="Times New Roman" w:hAnsi="Times New Roman" w:cs="Times New Roman"/>
          <w:sz w:val="28"/>
          <w:szCs w:val="28"/>
        </w:rPr>
        <w:t xml:space="preserve">, утвержденной </w:t>
      </w:r>
      <w:hyperlink r:id="rId10" w:history="1">
        <w:r w:rsidRPr="009061BB">
          <w:rPr>
            <w:rStyle w:val="ab"/>
            <w:color w:val="auto"/>
            <w:sz w:val="28"/>
            <w:szCs w:val="28"/>
          </w:rPr>
          <w:t>приказом</w:t>
        </w:r>
      </w:hyperlink>
      <w:r w:rsidRPr="009061BB">
        <w:rPr>
          <w:rFonts w:ascii="Times New Roman" w:hAnsi="Times New Roman" w:cs="Times New Roman"/>
          <w:sz w:val="28"/>
          <w:szCs w:val="28"/>
        </w:rPr>
        <w:t xml:space="preserve"> Министерства экономического развития Российской Федерации от 30 апреля 2009 года № 141.</w:t>
      </w:r>
    </w:p>
    <w:p w:rsidR="00CC1858" w:rsidRDefault="00CC1858" w:rsidP="00CC1858">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нарушения в результате проведения контрольных мероприятий выносится Предписания об устранении выявленных нарушений по результатам контрольного мероприятия или возбуждается дело об административном правонарушении.</w:t>
      </w:r>
    </w:p>
    <w:p w:rsidR="00CC1858" w:rsidRDefault="00CC1858" w:rsidP="00CC1858">
      <w:pPr>
        <w:ind w:firstLine="567"/>
        <w:jc w:val="both"/>
        <w:rPr>
          <w:sz w:val="28"/>
          <w:szCs w:val="28"/>
        </w:rPr>
      </w:pPr>
      <w:r>
        <w:rPr>
          <w:sz w:val="28"/>
          <w:szCs w:val="28"/>
        </w:rPr>
        <w:t>2. В соответствии с разделом 2 постановления Правительства Чукотского автономного округа от 7 июня 2007 года № 75 Комитет осуществляет региональный государственный контроль:</w:t>
      </w:r>
    </w:p>
    <w:p w:rsidR="00CC1858" w:rsidRDefault="00CC1858" w:rsidP="00CC1858">
      <w:pPr>
        <w:ind w:firstLine="567"/>
        <w:jc w:val="both"/>
        <w:rPr>
          <w:sz w:val="28"/>
          <w:szCs w:val="28"/>
        </w:rPr>
      </w:pPr>
      <w:r>
        <w:rPr>
          <w:sz w:val="28"/>
          <w:szCs w:val="28"/>
        </w:rPr>
        <w:t>за регулируемыми ценами (тарифами) в части обоснованности величины и правильности применения регулируемых цен (тарифов);</w:t>
      </w:r>
    </w:p>
    <w:p w:rsidR="00CC1858" w:rsidRDefault="00CC1858" w:rsidP="00CC1858">
      <w:pPr>
        <w:ind w:firstLine="567"/>
        <w:jc w:val="both"/>
        <w:rPr>
          <w:sz w:val="28"/>
          <w:szCs w:val="28"/>
        </w:rPr>
      </w:pPr>
      <w:r>
        <w:rPr>
          <w:sz w:val="28"/>
          <w:szCs w:val="28"/>
        </w:rPr>
        <w:t>за использованием инвестиционных ресурсов, включаемых в регулируемые цены (тарифы);</w:t>
      </w:r>
    </w:p>
    <w:p w:rsidR="00CC1858" w:rsidRDefault="00CC1858" w:rsidP="00CC1858">
      <w:pPr>
        <w:ind w:firstLine="567"/>
        <w:jc w:val="both"/>
        <w:rPr>
          <w:sz w:val="28"/>
          <w:szCs w:val="28"/>
        </w:rPr>
      </w:pPr>
      <w:r>
        <w:rPr>
          <w:sz w:val="28"/>
          <w:szCs w:val="28"/>
        </w:rPr>
        <w:t xml:space="preserve">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w:t>
      </w:r>
    </w:p>
    <w:p w:rsidR="00CC1858" w:rsidRDefault="00CC1858" w:rsidP="00CC1858">
      <w:pPr>
        <w:ind w:firstLine="567"/>
        <w:jc w:val="both"/>
        <w:rPr>
          <w:sz w:val="28"/>
          <w:szCs w:val="28"/>
        </w:rPr>
      </w:pPr>
      <w:r>
        <w:rPr>
          <w:sz w:val="28"/>
          <w:szCs w:val="28"/>
        </w:rPr>
        <w:t xml:space="preserve">за деятельностью гарантирующих поставщиков; </w:t>
      </w:r>
    </w:p>
    <w:p w:rsidR="00CC1858" w:rsidRDefault="00CC1858" w:rsidP="00CC1858">
      <w:pPr>
        <w:ind w:firstLine="567"/>
        <w:jc w:val="both"/>
        <w:rPr>
          <w:sz w:val="28"/>
          <w:szCs w:val="28"/>
        </w:rPr>
      </w:pPr>
      <w:r>
        <w:rPr>
          <w:sz w:val="28"/>
          <w:szCs w:val="28"/>
        </w:rPr>
        <w:t xml:space="preserve">за соблюдением стандартов раскрытия информации субъектами оптового и розничных рынков электрической энергии; </w:t>
      </w:r>
    </w:p>
    <w:p w:rsidR="00CC1858" w:rsidRDefault="00CC1858" w:rsidP="00CC1858">
      <w:pPr>
        <w:ind w:firstLine="567"/>
        <w:jc w:val="both"/>
        <w:rPr>
          <w:sz w:val="28"/>
          <w:szCs w:val="28"/>
        </w:rPr>
      </w:pPr>
      <w:r>
        <w:rPr>
          <w:sz w:val="28"/>
          <w:szCs w:val="28"/>
        </w:rPr>
        <w:t xml:space="preserve">в области регулирования цен (тарифов) в сфере теплоснабжения в части соблюдения стандартов раскрытия информации теплоснабжающими организациями, </w:t>
      </w:r>
      <w:proofErr w:type="spellStart"/>
      <w:r>
        <w:rPr>
          <w:sz w:val="28"/>
          <w:szCs w:val="28"/>
        </w:rPr>
        <w:t>теплосетевыми</w:t>
      </w:r>
      <w:proofErr w:type="spellEnd"/>
      <w:r>
        <w:rPr>
          <w:sz w:val="28"/>
          <w:szCs w:val="28"/>
        </w:rPr>
        <w:t xml:space="preserve"> организациями; </w:t>
      </w:r>
    </w:p>
    <w:p w:rsidR="00CC1858" w:rsidRDefault="00CC1858" w:rsidP="00CC1858">
      <w:pPr>
        <w:ind w:firstLine="567"/>
        <w:jc w:val="both"/>
        <w:rPr>
          <w:sz w:val="28"/>
          <w:szCs w:val="28"/>
        </w:rPr>
      </w:pPr>
      <w:r>
        <w:rPr>
          <w:sz w:val="28"/>
          <w:szCs w:val="28"/>
        </w:rPr>
        <w:t>за соблюдением стандартов раскрытия информации организациями, осуществляющими горячее во</w:t>
      </w:r>
      <w:bookmarkStart w:id="0" w:name="_GoBack"/>
      <w:bookmarkEnd w:id="0"/>
      <w:r>
        <w:rPr>
          <w:sz w:val="28"/>
          <w:szCs w:val="28"/>
        </w:rPr>
        <w:t xml:space="preserve">доснабжение, холодное водоснабжение и (или) водоотведение; </w:t>
      </w:r>
    </w:p>
    <w:p w:rsidR="00CC1858" w:rsidRDefault="00CC1858" w:rsidP="00CC1858">
      <w:pPr>
        <w:ind w:firstLine="567"/>
        <w:jc w:val="both"/>
        <w:rPr>
          <w:sz w:val="28"/>
          <w:szCs w:val="28"/>
        </w:rPr>
      </w:pPr>
      <w:r>
        <w:rPr>
          <w:sz w:val="28"/>
          <w:szCs w:val="28"/>
        </w:rPr>
        <w:t xml:space="preserve">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w:t>
      </w:r>
    </w:p>
    <w:p w:rsidR="00CC1858" w:rsidRDefault="00CC1858" w:rsidP="00CC1858">
      <w:pPr>
        <w:ind w:firstLine="567"/>
        <w:jc w:val="both"/>
        <w:rPr>
          <w:sz w:val="28"/>
          <w:szCs w:val="28"/>
        </w:rPr>
      </w:pPr>
      <w:r>
        <w:rPr>
          <w:sz w:val="28"/>
          <w:szCs w:val="28"/>
        </w:rPr>
        <w:lastRenderedPageBreak/>
        <w:t>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органом регулирования, требований о принятии программ в области энергосбережения и повышения энергетической эффективности и требований к этим программам.</w:t>
      </w:r>
    </w:p>
    <w:p w:rsidR="00CC1858" w:rsidRDefault="00CC1858" w:rsidP="00CC1858">
      <w:pPr>
        <w:ind w:firstLine="567"/>
        <w:jc w:val="both"/>
        <w:rPr>
          <w:sz w:val="28"/>
          <w:szCs w:val="28"/>
        </w:rPr>
      </w:pPr>
      <w:r>
        <w:rPr>
          <w:sz w:val="28"/>
          <w:szCs w:val="28"/>
        </w:rPr>
        <w:t>3.</w:t>
      </w:r>
      <w:r w:rsidR="0015036E">
        <w:rPr>
          <w:sz w:val="28"/>
          <w:szCs w:val="28"/>
        </w:rPr>
        <w:t xml:space="preserve"> </w:t>
      </w:r>
      <w:r>
        <w:rPr>
          <w:sz w:val="28"/>
          <w:szCs w:val="28"/>
        </w:rPr>
        <w:t>Нормативные правовые акты, регламентирующие порядок исполнения регионального государственного контроля (надзора):</w:t>
      </w:r>
    </w:p>
    <w:p w:rsidR="00CC1858" w:rsidRDefault="00CC1858" w:rsidP="00CC1858">
      <w:pPr>
        <w:ind w:firstLine="567"/>
        <w:jc w:val="both"/>
        <w:rPr>
          <w:sz w:val="28"/>
          <w:szCs w:val="28"/>
        </w:rPr>
      </w:pPr>
      <w:r>
        <w:rPr>
          <w:sz w:val="28"/>
          <w:szCs w:val="28"/>
        </w:rPr>
        <w:t>Постановление Правительства Р</w:t>
      </w:r>
      <w:r w:rsidR="00F128A5">
        <w:rPr>
          <w:sz w:val="28"/>
          <w:szCs w:val="28"/>
        </w:rPr>
        <w:t>оссийской Федерации</w:t>
      </w:r>
      <w:r>
        <w:rPr>
          <w:sz w:val="28"/>
          <w:szCs w:val="28"/>
        </w:rPr>
        <w:t xml:space="preserve"> от 27 июня 2013 г.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CC1858" w:rsidRPr="00DD745C" w:rsidRDefault="00CC1858" w:rsidP="00DD745C">
      <w:pPr>
        <w:ind w:firstLine="567"/>
        <w:jc w:val="both"/>
        <w:rPr>
          <w:sz w:val="28"/>
          <w:szCs w:val="28"/>
        </w:rPr>
      </w:pPr>
      <w:r>
        <w:rPr>
          <w:sz w:val="28"/>
          <w:szCs w:val="28"/>
        </w:rPr>
        <w:t xml:space="preserve">Постановление Правительства Чукотского автономного округа от 11 марта 2015 г. № 162 «Об утверждении Порядка осуществления регионального государственного контроля (надзора) в области регулируемых </w:t>
      </w:r>
      <w:r w:rsidRPr="00DD745C">
        <w:rPr>
          <w:sz w:val="28"/>
          <w:szCs w:val="28"/>
        </w:rPr>
        <w:t>государством цен (тарифов) на территории</w:t>
      </w:r>
      <w:r w:rsidR="00DD745C" w:rsidRPr="00DD745C">
        <w:rPr>
          <w:sz w:val="28"/>
          <w:szCs w:val="28"/>
        </w:rPr>
        <w:t xml:space="preserve"> Чукотского автономного округа»;</w:t>
      </w:r>
    </w:p>
    <w:p w:rsidR="00DD745C" w:rsidRPr="00DD745C" w:rsidRDefault="00DD745C" w:rsidP="00DD745C">
      <w:pPr>
        <w:ind w:firstLine="709"/>
        <w:jc w:val="both"/>
        <w:rPr>
          <w:sz w:val="28"/>
        </w:rPr>
      </w:pPr>
      <w:r w:rsidRPr="00DD745C">
        <w:rPr>
          <w:sz w:val="28"/>
          <w:szCs w:val="28"/>
        </w:rPr>
        <w:t>Постановление Комитета государственного регулирования цен и тарифов Чукотского автономного округа от 20 мая 2016 года № 2 «</w:t>
      </w:r>
      <w:r w:rsidRPr="00DD745C">
        <w:rPr>
          <w:sz w:val="28"/>
        </w:rPr>
        <w:t xml:space="preserve">Об  утверждении Административного регламента Комитета государственного регулирования цен и тарифов Чукотского автономного округа по исполнению государственной функции «Государственный </w:t>
      </w:r>
      <w:proofErr w:type="gramStart"/>
      <w:r w:rsidRPr="00DD745C">
        <w:rPr>
          <w:sz w:val="28"/>
        </w:rPr>
        <w:t>контроль за</w:t>
      </w:r>
      <w:proofErr w:type="gramEnd"/>
      <w:r w:rsidRPr="00DD745C">
        <w:rPr>
          <w:sz w:val="28"/>
        </w:rPr>
        <w:t xml:space="preserve"> применением регулируемых цен и тарифов»</w:t>
      </w:r>
      <w:r>
        <w:rPr>
          <w:sz w:val="28"/>
        </w:rPr>
        <w:t>.</w:t>
      </w:r>
    </w:p>
    <w:p w:rsidR="00CC1858" w:rsidRDefault="00CC1858" w:rsidP="00CC1858">
      <w:pPr>
        <w:ind w:firstLine="567"/>
        <w:jc w:val="both"/>
        <w:rPr>
          <w:sz w:val="28"/>
          <w:szCs w:val="28"/>
        </w:rPr>
      </w:pPr>
      <w:r>
        <w:rPr>
          <w:sz w:val="28"/>
          <w:szCs w:val="28"/>
        </w:rPr>
        <w:t>4. При проведении проверок в 201</w:t>
      </w:r>
      <w:r w:rsidR="00DD745C">
        <w:rPr>
          <w:sz w:val="28"/>
          <w:szCs w:val="28"/>
        </w:rPr>
        <w:t>6</w:t>
      </w:r>
      <w:r>
        <w:rPr>
          <w:sz w:val="28"/>
          <w:szCs w:val="28"/>
        </w:rPr>
        <w:t xml:space="preserve"> году Комитет не взаимодействовал с другими органами государственного контроля (надзора).</w:t>
      </w:r>
    </w:p>
    <w:p w:rsidR="00CC1858" w:rsidRDefault="00CC1858" w:rsidP="00CC1858">
      <w:pPr>
        <w:ind w:firstLine="567"/>
        <w:jc w:val="both"/>
        <w:rPr>
          <w:sz w:val="28"/>
          <w:szCs w:val="28"/>
        </w:rPr>
      </w:pPr>
      <w:r>
        <w:rPr>
          <w:sz w:val="28"/>
          <w:szCs w:val="28"/>
        </w:rPr>
        <w:t>5. Подведомственных  Комитету организаций нет.</w:t>
      </w:r>
    </w:p>
    <w:p w:rsidR="00CC1858" w:rsidRDefault="00CC1858" w:rsidP="00CC1858">
      <w:pPr>
        <w:ind w:firstLine="567"/>
        <w:jc w:val="both"/>
        <w:rPr>
          <w:sz w:val="28"/>
          <w:szCs w:val="28"/>
        </w:rPr>
      </w:pPr>
      <w:r>
        <w:rPr>
          <w:sz w:val="28"/>
          <w:szCs w:val="28"/>
        </w:rPr>
        <w:t xml:space="preserve">6. Работа по аккредитации юридических лиц и граждан в качестве </w:t>
      </w:r>
      <w:proofErr w:type="gramStart"/>
      <w:r>
        <w:rPr>
          <w:sz w:val="28"/>
          <w:szCs w:val="28"/>
        </w:rPr>
        <w:t>экспертных организаций, привлекаемых к выполнению мероприятий по контролю не проводилась</w:t>
      </w:r>
      <w:proofErr w:type="gramEnd"/>
      <w:r>
        <w:rPr>
          <w:sz w:val="28"/>
          <w:szCs w:val="28"/>
        </w:rPr>
        <w:t>.</w:t>
      </w:r>
    </w:p>
    <w:p w:rsidR="00886888" w:rsidRPr="00755FAF" w:rsidRDefault="00886888" w:rsidP="00886888">
      <w:pPr>
        <w:rPr>
          <w:sz w:val="32"/>
          <w:szCs w:val="32"/>
        </w:rPr>
      </w:pPr>
    </w:p>
    <w:p w:rsidR="009061BB" w:rsidRPr="009061BB" w:rsidRDefault="009061BB" w:rsidP="009061BB">
      <w:pPr>
        <w:ind w:left="360"/>
        <w:jc w:val="center"/>
        <w:rPr>
          <w:bCs/>
          <w:color w:val="000000"/>
          <w:sz w:val="28"/>
          <w:szCs w:val="28"/>
        </w:rPr>
      </w:pPr>
      <w:r>
        <w:rPr>
          <w:bCs/>
          <w:color w:val="000000"/>
          <w:sz w:val="28"/>
          <w:szCs w:val="28"/>
        </w:rPr>
        <w:t xml:space="preserve">3. </w:t>
      </w:r>
      <w:r w:rsidRPr="009061BB">
        <w:rPr>
          <w:bCs/>
          <w:color w:val="000000"/>
          <w:sz w:val="28"/>
          <w:szCs w:val="28"/>
        </w:rPr>
        <w:t>Финансовое и кадровое обеспечение государственного контроля (надзора)</w:t>
      </w:r>
    </w:p>
    <w:p w:rsidR="009061BB" w:rsidRDefault="009061BB" w:rsidP="00CC1858">
      <w:pPr>
        <w:pStyle w:val="ConsPlusNormal"/>
        <w:ind w:firstLine="567"/>
        <w:jc w:val="both"/>
        <w:rPr>
          <w:rFonts w:ascii="Times New Roman" w:hAnsi="Times New Roman" w:cs="Times New Roman"/>
          <w:sz w:val="28"/>
          <w:szCs w:val="28"/>
        </w:rPr>
      </w:pPr>
    </w:p>
    <w:p w:rsidR="00CC1858" w:rsidRDefault="00CC1858" w:rsidP="00CC18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Финансирование деятельности Комитета осуществляется за счет средств окружного бюджета, в связи с утвержденной сводной бюджетной росписью.</w:t>
      </w:r>
    </w:p>
    <w:p w:rsidR="00CC1858" w:rsidRDefault="00CC1858" w:rsidP="00CC1858">
      <w:pPr>
        <w:ind w:firstLine="567"/>
        <w:jc w:val="both"/>
        <w:rPr>
          <w:sz w:val="28"/>
          <w:szCs w:val="28"/>
        </w:rPr>
      </w:pPr>
      <w:r>
        <w:rPr>
          <w:sz w:val="28"/>
          <w:szCs w:val="28"/>
        </w:rPr>
        <w:t>2. Штатная численность Комитета - 15 человек. Количество государственных служащих имеющих право проводить государственный контроль (надзор) -</w:t>
      </w:r>
      <w:r w:rsidR="00056E8E">
        <w:rPr>
          <w:sz w:val="28"/>
          <w:szCs w:val="28"/>
        </w:rPr>
        <w:t xml:space="preserve"> </w:t>
      </w:r>
      <w:r>
        <w:rPr>
          <w:sz w:val="28"/>
          <w:szCs w:val="28"/>
        </w:rPr>
        <w:t>11 человек.</w:t>
      </w:r>
    </w:p>
    <w:p w:rsidR="00CC1858" w:rsidRDefault="00CC1858" w:rsidP="00CC1858">
      <w:pPr>
        <w:ind w:firstLine="567"/>
        <w:jc w:val="both"/>
        <w:rPr>
          <w:sz w:val="28"/>
          <w:szCs w:val="28"/>
        </w:rPr>
      </w:pPr>
      <w:r>
        <w:rPr>
          <w:sz w:val="28"/>
          <w:szCs w:val="28"/>
        </w:rPr>
        <w:t>Должностными лицами уполномоченными осуществлять государственный контроль (надзор) являются:</w:t>
      </w:r>
    </w:p>
    <w:p w:rsidR="00CC1858" w:rsidRDefault="00CC1858" w:rsidP="00CC1858">
      <w:pPr>
        <w:ind w:firstLine="567"/>
        <w:jc w:val="both"/>
        <w:rPr>
          <w:sz w:val="28"/>
          <w:szCs w:val="28"/>
        </w:rPr>
      </w:pPr>
      <w:r>
        <w:rPr>
          <w:sz w:val="28"/>
          <w:szCs w:val="28"/>
        </w:rPr>
        <w:t>Председатель Комитета;</w:t>
      </w:r>
    </w:p>
    <w:p w:rsidR="00CC1858" w:rsidRDefault="00CC1858" w:rsidP="00CC1858">
      <w:pPr>
        <w:ind w:firstLine="567"/>
        <w:jc w:val="both"/>
        <w:rPr>
          <w:sz w:val="28"/>
          <w:szCs w:val="28"/>
        </w:rPr>
      </w:pPr>
      <w:r>
        <w:rPr>
          <w:sz w:val="28"/>
          <w:szCs w:val="28"/>
        </w:rPr>
        <w:t>Заместитель председателя Комитета;</w:t>
      </w:r>
    </w:p>
    <w:p w:rsidR="00CC1858" w:rsidRDefault="00CC1858" w:rsidP="00CC1858">
      <w:pPr>
        <w:ind w:firstLine="567"/>
        <w:jc w:val="both"/>
        <w:rPr>
          <w:sz w:val="28"/>
          <w:szCs w:val="28"/>
        </w:rPr>
      </w:pPr>
      <w:r>
        <w:rPr>
          <w:sz w:val="28"/>
          <w:szCs w:val="28"/>
        </w:rPr>
        <w:t>Начальник отдела регулирования тарифов и контроля ценообразования в энергетической отрасли;</w:t>
      </w:r>
    </w:p>
    <w:p w:rsidR="00CC1858" w:rsidRDefault="00CC1858" w:rsidP="00CC1858">
      <w:pPr>
        <w:ind w:firstLine="567"/>
        <w:jc w:val="both"/>
        <w:rPr>
          <w:sz w:val="28"/>
          <w:szCs w:val="28"/>
        </w:rPr>
      </w:pPr>
      <w:r>
        <w:rPr>
          <w:sz w:val="28"/>
          <w:szCs w:val="28"/>
        </w:rPr>
        <w:lastRenderedPageBreak/>
        <w:t>Советник отдела регулирования тарифов и контроля ценообразования в энергетической отрасли;</w:t>
      </w:r>
    </w:p>
    <w:p w:rsidR="00CC1858" w:rsidRDefault="00CC1858" w:rsidP="00CC1858">
      <w:pPr>
        <w:ind w:firstLine="567"/>
        <w:jc w:val="both"/>
        <w:rPr>
          <w:sz w:val="28"/>
          <w:szCs w:val="28"/>
        </w:rPr>
      </w:pPr>
      <w:r>
        <w:rPr>
          <w:sz w:val="28"/>
          <w:szCs w:val="28"/>
        </w:rPr>
        <w:t>Консультант отдела регулирования тарифов и контроля ценообразования в энергетической отрасли;</w:t>
      </w:r>
    </w:p>
    <w:p w:rsidR="00CC1858" w:rsidRDefault="00CC1858" w:rsidP="00CC1858">
      <w:pPr>
        <w:ind w:firstLine="567"/>
        <w:jc w:val="both"/>
        <w:rPr>
          <w:sz w:val="28"/>
          <w:szCs w:val="28"/>
        </w:rPr>
      </w:pPr>
      <w:r>
        <w:rPr>
          <w:sz w:val="28"/>
          <w:szCs w:val="28"/>
        </w:rPr>
        <w:t>Начальник отдела регулирования тарифов и контроля ценообразования в жилищно-коммунальном хозяйстве;</w:t>
      </w:r>
    </w:p>
    <w:p w:rsidR="00CC1858" w:rsidRDefault="00CC1858" w:rsidP="00CC1858">
      <w:pPr>
        <w:ind w:firstLine="567"/>
        <w:jc w:val="both"/>
        <w:rPr>
          <w:sz w:val="28"/>
          <w:szCs w:val="28"/>
        </w:rPr>
      </w:pPr>
      <w:r>
        <w:rPr>
          <w:sz w:val="28"/>
          <w:szCs w:val="28"/>
        </w:rPr>
        <w:t>Советник отдела регулирования тарифов и контроля ценообразования в жилищно-коммунальном хозяйстве;</w:t>
      </w:r>
    </w:p>
    <w:p w:rsidR="00CC1858" w:rsidRDefault="00CC1858" w:rsidP="00CC1858">
      <w:pPr>
        <w:ind w:firstLine="567"/>
        <w:jc w:val="both"/>
        <w:rPr>
          <w:sz w:val="28"/>
          <w:szCs w:val="28"/>
        </w:rPr>
      </w:pPr>
      <w:r>
        <w:rPr>
          <w:sz w:val="28"/>
          <w:szCs w:val="28"/>
        </w:rPr>
        <w:t>Консультант отдела регулирования тарифов и контроля ценообразования в жилищно-коммунальном хозяйстве;</w:t>
      </w:r>
    </w:p>
    <w:p w:rsidR="00CC1858" w:rsidRDefault="00CC1858" w:rsidP="00CC1858">
      <w:pPr>
        <w:ind w:firstLine="567"/>
        <w:jc w:val="both"/>
        <w:rPr>
          <w:sz w:val="28"/>
          <w:szCs w:val="28"/>
        </w:rPr>
      </w:pPr>
      <w:r>
        <w:rPr>
          <w:sz w:val="28"/>
          <w:szCs w:val="28"/>
        </w:rPr>
        <w:t>Начальник отдела регулирования тарифов и контроля ценообразования на транспорте и других отраслей;</w:t>
      </w:r>
    </w:p>
    <w:p w:rsidR="00CC1858" w:rsidRDefault="00CC1858" w:rsidP="00CC1858">
      <w:pPr>
        <w:ind w:firstLine="567"/>
        <w:jc w:val="both"/>
        <w:rPr>
          <w:sz w:val="28"/>
          <w:szCs w:val="28"/>
        </w:rPr>
      </w:pPr>
      <w:r>
        <w:rPr>
          <w:sz w:val="28"/>
          <w:szCs w:val="28"/>
        </w:rPr>
        <w:t>Консультант отдела регулирования тарифов и контроля ценообразования на транспорте и других отраслей;</w:t>
      </w:r>
    </w:p>
    <w:p w:rsidR="00CC1858" w:rsidRDefault="00CC1858" w:rsidP="00CC1858">
      <w:pPr>
        <w:ind w:firstLine="567"/>
        <w:jc w:val="both"/>
        <w:rPr>
          <w:sz w:val="28"/>
          <w:szCs w:val="28"/>
        </w:rPr>
      </w:pPr>
      <w:r>
        <w:rPr>
          <w:sz w:val="28"/>
          <w:szCs w:val="28"/>
        </w:rPr>
        <w:t>Главный специалист-эксперт отдела регулирования тарифов и контроля ценообразования на транспорте и других отраслей.</w:t>
      </w:r>
    </w:p>
    <w:p w:rsidR="00CC1858" w:rsidRDefault="00CC1858" w:rsidP="00CC1858">
      <w:pPr>
        <w:ind w:firstLine="567"/>
        <w:jc w:val="both"/>
        <w:rPr>
          <w:sz w:val="28"/>
          <w:szCs w:val="28"/>
        </w:rPr>
      </w:pPr>
      <w:r>
        <w:rPr>
          <w:sz w:val="28"/>
          <w:szCs w:val="28"/>
        </w:rPr>
        <w:t>3. Квалификация работников Комитета соответствует квалификационным требованиям к должностям государственной гражданской службы.</w:t>
      </w:r>
    </w:p>
    <w:p w:rsidR="00CC1858" w:rsidRDefault="00CC1858" w:rsidP="00CC1858">
      <w:pPr>
        <w:ind w:firstLine="567"/>
        <w:jc w:val="both"/>
        <w:rPr>
          <w:sz w:val="28"/>
          <w:szCs w:val="28"/>
        </w:rPr>
      </w:pPr>
      <w:r>
        <w:rPr>
          <w:sz w:val="28"/>
          <w:szCs w:val="28"/>
        </w:rPr>
        <w:t xml:space="preserve">4. Данные о средней нагрузке на 1 человека по фактически выполненному объему функций по контролю в 1 полугодии - 0,64, во 2 полугодии </w:t>
      </w:r>
      <w:r w:rsidR="00056E8E">
        <w:rPr>
          <w:sz w:val="28"/>
          <w:szCs w:val="28"/>
        </w:rPr>
        <w:t>–</w:t>
      </w:r>
      <w:r>
        <w:rPr>
          <w:sz w:val="28"/>
          <w:szCs w:val="28"/>
        </w:rPr>
        <w:t xml:space="preserve"> </w:t>
      </w:r>
      <w:r w:rsidR="00056E8E">
        <w:rPr>
          <w:sz w:val="28"/>
          <w:szCs w:val="28"/>
        </w:rPr>
        <w:t>0,45</w:t>
      </w:r>
      <w:r>
        <w:rPr>
          <w:sz w:val="28"/>
          <w:szCs w:val="28"/>
        </w:rPr>
        <w:t>.</w:t>
      </w:r>
    </w:p>
    <w:p w:rsidR="00CC1858" w:rsidRDefault="00CC1858" w:rsidP="00CC1858">
      <w:pPr>
        <w:ind w:firstLine="567"/>
        <w:jc w:val="both"/>
        <w:rPr>
          <w:sz w:val="28"/>
          <w:szCs w:val="28"/>
        </w:rPr>
      </w:pPr>
      <w:r>
        <w:rPr>
          <w:sz w:val="28"/>
          <w:szCs w:val="28"/>
        </w:rPr>
        <w:t>5. Эксперты и представители экспертных организаций к проведению контрольных мероприятий по государственному контролю (надзору) не привлекались.</w:t>
      </w:r>
    </w:p>
    <w:p w:rsidR="00886888" w:rsidRDefault="00886888" w:rsidP="00886888">
      <w:pPr>
        <w:rPr>
          <w:sz w:val="32"/>
          <w:szCs w:val="32"/>
        </w:rPr>
      </w:pPr>
    </w:p>
    <w:p w:rsidR="009061BB" w:rsidRPr="009061BB" w:rsidRDefault="009061BB" w:rsidP="009061BB">
      <w:pPr>
        <w:ind w:left="360"/>
        <w:jc w:val="center"/>
        <w:rPr>
          <w:bCs/>
          <w:color w:val="000000"/>
          <w:sz w:val="28"/>
          <w:szCs w:val="28"/>
        </w:rPr>
      </w:pPr>
      <w:r>
        <w:rPr>
          <w:bCs/>
          <w:color w:val="000000"/>
          <w:sz w:val="28"/>
          <w:szCs w:val="28"/>
        </w:rPr>
        <w:t xml:space="preserve">4. </w:t>
      </w:r>
      <w:r w:rsidRPr="009061BB">
        <w:rPr>
          <w:bCs/>
          <w:color w:val="000000"/>
          <w:sz w:val="28"/>
          <w:szCs w:val="28"/>
        </w:rPr>
        <w:t>Проведение государственного контроля (надзора)</w:t>
      </w:r>
    </w:p>
    <w:p w:rsidR="00886888" w:rsidRPr="00755FAF" w:rsidRDefault="00886888" w:rsidP="00886888">
      <w:pPr>
        <w:rPr>
          <w:sz w:val="32"/>
          <w:szCs w:val="32"/>
        </w:rPr>
      </w:pPr>
    </w:p>
    <w:p w:rsidR="00CC1858" w:rsidRDefault="00CC1858" w:rsidP="00CC1858">
      <w:pPr>
        <w:pStyle w:val="aa"/>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1. В первом полугодии 201</w:t>
      </w:r>
      <w:r w:rsidR="00056E8E">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 xml:space="preserve"> года проведено 7 проверок, из них 6 внеплановых проверок аптечных учреждений (по требованию Прокуратуры), 1 плановая проверка организации, осуществляющей деятельность в сфере </w:t>
      </w:r>
      <w:r>
        <w:rPr>
          <w:rFonts w:ascii="Times New Roman" w:hAnsi="Times New Roman" w:cs="Times New Roman"/>
          <w:sz w:val="28"/>
          <w:szCs w:val="28"/>
        </w:rPr>
        <w:t>утилизации, обезвреживания и захоронения твердых бытовых отходов.</w:t>
      </w:r>
    </w:p>
    <w:p w:rsidR="0007137A" w:rsidRDefault="00CC1858" w:rsidP="0007137A">
      <w:pPr>
        <w:ind w:firstLine="567"/>
        <w:jc w:val="both"/>
        <w:rPr>
          <w:sz w:val="28"/>
          <w:szCs w:val="28"/>
        </w:rPr>
      </w:pPr>
      <w:r>
        <w:rPr>
          <w:sz w:val="28"/>
          <w:szCs w:val="28"/>
        </w:rPr>
        <w:t xml:space="preserve">1) </w:t>
      </w:r>
      <w:r w:rsidR="0007137A">
        <w:rPr>
          <w:sz w:val="28"/>
          <w:szCs w:val="28"/>
        </w:rPr>
        <w:t xml:space="preserve">с 4 по 5 апреля 2016 года </w:t>
      </w:r>
      <w:bookmarkStart w:id="1" w:name="OLE_LINK1"/>
      <w:bookmarkStart w:id="2" w:name="OLE_LINK2"/>
      <w:r w:rsidR="0007137A">
        <w:rPr>
          <w:sz w:val="28"/>
          <w:szCs w:val="28"/>
        </w:rPr>
        <w:t>проведена плановая документарная проверка</w:t>
      </w:r>
      <w:r w:rsidR="0007137A">
        <w:rPr>
          <w:b/>
          <w:sz w:val="28"/>
          <w:szCs w:val="28"/>
        </w:rPr>
        <w:t xml:space="preserve"> </w:t>
      </w:r>
      <w:r w:rsidR="0007137A">
        <w:rPr>
          <w:sz w:val="28"/>
          <w:szCs w:val="28"/>
        </w:rPr>
        <w:t>в отношении МП «</w:t>
      </w:r>
      <w:proofErr w:type="spellStart"/>
      <w:r w:rsidR="0007137A">
        <w:rPr>
          <w:sz w:val="28"/>
          <w:szCs w:val="28"/>
        </w:rPr>
        <w:t>Провиденское</w:t>
      </w:r>
      <w:proofErr w:type="spellEnd"/>
      <w:r w:rsidR="0007137A">
        <w:rPr>
          <w:sz w:val="28"/>
          <w:szCs w:val="28"/>
        </w:rPr>
        <w:t xml:space="preserve"> ЖКХ» в части правильности применения установленных тарифов на услуги по утилизации, обезвреживанию и захоронению твердых бытовых отходов и соблюдения стандартов раскрытия информации, за 2015 год.</w:t>
      </w:r>
    </w:p>
    <w:p w:rsidR="0007137A" w:rsidRDefault="0007137A" w:rsidP="0007137A">
      <w:pPr>
        <w:ind w:firstLine="567"/>
        <w:jc w:val="both"/>
        <w:rPr>
          <w:sz w:val="28"/>
          <w:szCs w:val="28"/>
        </w:rPr>
      </w:pPr>
      <w:r>
        <w:rPr>
          <w:sz w:val="28"/>
          <w:szCs w:val="28"/>
        </w:rPr>
        <w:t xml:space="preserve">В ходе проверки выявлены следующие нарушения: </w:t>
      </w:r>
    </w:p>
    <w:p w:rsidR="0007137A" w:rsidRDefault="0007137A" w:rsidP="0007137A">
      <w:pPr>
        <w:ind w:firstLine="567"/>
        <w:jc w:val="both"/>
        <w:rPr>
          <w:sz w:val="28"/>
          <w:szCs w:val="28"/>
          <w:highlight w:val="yellow"/>
        </w:rPr>
      </w:pPr>
      <w:r>
        <w:rPr>
          <w:sz w:val="28"/>
          <w:szCs w:val="28"/>
        </w:rPr>
        <w:t xml:space="preserve">- в октябре, ноябре 2015 года для расчетов платы за оказанные услуги потребителю – Администрация </w:t>
      </w:r>
      <w:proofErr w:type="spellStart"/>
      <w:r>
        <w:rPr>
          <w:sz w:val="28"/>
          <w:szCs w:val="28"/>
        </w:rPr>
        <w:t>Провиденского</w:t>
      </w:r>
      <w:proofErr w:type="spellEnd"/>
      <w:r>
        <w:rPr>
          <w:sz w:val="28"/>
          <w:szCs w:val="28"/>
        </w:rPr>
        <w:t xml:space="preserve"> муниципального района не применялись тарифы на утилизации, обезвреживания и захоронения твердых бытовых отходов, утвержденные в установленном порядке;</w:t>
      </w:r>
    </w:p>
    <w:p w:rsidR="0007137A" w:rsidRDefault="0007137A" w:rsidP="0007137A">
      <w:pPr>
        <w:ind w:firstLine="567"/>
        <w:jc w:val="both"/>
        <w:rPr>
          <w:sz w:val="28"/>
          <w:szCs w:val="28"/>
        </w:rPr>
      </w:pPr>
      <w:r>
        <w:rPr>
          <w:sz w:val="28"/>
          <w:szCs w:val="28"/>
        </w:rPr>
        <w:t xml:space="preserve">- в счетах-фактурах наименование оказываемой услуги потребителям не соответствует наименованию, определенному нормативными актами в </w:t>
      </w:r>
      <w:r>
        <w:rPr>
          <w:sz w:val="28"/>
          <w:szCs w:val="28"/>
        </w:rPr>
        <w:lastRenderedPageBreak/>
        <w:t>области ценообразования в сфере утилизации, обезвреживания и захоронения твердых бытовых отходов;</w:t>
      </w:r>
    </w:p>
    <w:p w:rsidR="0007137A" w:rsidRDefault="0007137A" w:rsidP="0007137A">
      <w:pPr>
        <w:ind w:firstLine="567"/>
        <w:jc w:val="both"/>
        <w:rPr>
          <w:sz w:val="28"/>
          <w:szCs w:val="28"/>
        </w:rPr>
      </w:pPr>
      <w:r>
        <w:rPr>
          <w:bCs/>
          <w:sz w:val="28"/>
          <w:szCs w:val="28"/>
        </w:rPr>
        <w:t>- в части соблюдения стандартов раскрытия информации.</w:t>
      </w:r>
      <w:r>
        <w:rPr>
          <w:sz w:val="28"/>
          <w:szCs w:val="28"/>
        </w:rPr>
        <w:t xml:space="preserve"> При опубликовании информации в печатном издании и на сайте в сети Интернет организацией нарушена полнота раскрытия информации. </w:t>
      </w:r>
    </w:p>
    <w:p w:rsidR="0007137A" w:rsidRDefault="0007137A" w:rsidP="0007137A">
      <w:pPr>
        <w:ind w:firstLine="567"/>
        <w:jc w:val="both"/>
        <w:rPr>
          <w:sz w:val="28"/>
          <w:szCs w:val="28"/>
        </w:rPr>
      </w:pPr>
      <w:r>
        <w:rPr>
          <w:sz w:val="28"/>
          <w:szCs w:val="28"/>
        </w:rPr>
        <w:t>Руководителю организации направлено Предписание об устранении выявленных нарушений. Письмом от 12 апреля 2016 года исх. № 01-08/207 МП «</w:t>
      </w:r>
      <w:proofErr w:type="spellStart"/>
      <w:r>
        <w:rPr>
          <w:sz w:val="28"/>
          <w:szCs w:val="28"/>
        </w:rPr>
        <w:t>Провиденское</w:t>
      </w:r>
      <w:proofErr w:type="spellEnd"/>
      <w:r>
        <w:rPr>
          <w:sz w:val="28"/>
          <w:szCs w:val="28"/>
        </w:rPr>
        <w:t xml:space="preserve"> ЖКХ» направил в Комитет пояснения по факту выявленных нарушений.</w:t>
      </w:r>
      <w:bookmarkEnd w:id="1"/>
      <w:bookmarkEnd w:id="2"/>
    </w:p>
    <w:p w:rsidR="0007137A" w:rsidRDefault="00CC1858" w:rsidP="0007137A">
      <w:pPr>
        <w:ind w:firstLine="700"/>
        <w:jc w:val="both"/>
        <w:rPr>
          <w:sz w:val="28"/>
          <w:szCs w:val="28"/>
        </w:rPr>
      </w:pPr>
      <w:r>
        <w:rPr>
          <w:sz w:val="28"/>
          <w:szCs w:val="26"/>
        </w:rPr>
        <w:t xml:space="preserve">2) </w:t>
      </w:r>
      <w:r w:rsidR="0007137A">
        <w:rPr>
          <w:sz w:val="28"/>
          <w:szCs w:val="28"/>
        </w:rPr>
        <w:t xml:space="preserve">В январе - июне 2016 года во исполнение требования Прокуратуры Чукотского автономного округа от 06.02.2012 года №7/9-2-3847-2011/248 проведены ежемесячные внеплановые поверки по соблюдению законодательства в сфере обеспеченности населения лекарственными препаратами и стоимости жизненно необходимых и важнейших лекарственных препаратов в аптечных учреждениях  </w:t>
      </w:r>
      <w:r w:rsidR="0007137A">
        <w:rPr>
          <w:sz w:val="28"/>
          <w:szCs w:val="26"/>
        </w:rPr>
        <w:t xml:space="preserve">города Анадырь и поселка Угольные Копи. В ходе </w:t>
      </w:r>
      <w:proofErr w:type="gramStart"/>
      <w:r w:rsidR="0007137A">
        <w:rPr>
          <w:sz w:val="28"/>
          <w:szCs w:val="26"/>
        </w:rPr>
        <w:t>проверок фактов нарушений формирования розничных цен</w:t>
      </w:r>
      <w:proofErr w:type="gramEnd"/>
      <w:r w:rsidR="0007137A">
        <w:rPr>
          <w:sz w:val="28"/>
          <w:szCs w:val="26"/>
        </w:rPr>
        <w:t xml:space="preserve"> на лекарственные препараты, входящие в перечень жизненно необходимых и важнейших лекарственных препаратов, не выявлено.</w:t>
      </w:r>
    </w:p>
    <w:p w:rsidR="00CC1858" w:rsidRDefault="00CC1858" w:rsidP="00455DE8">
      <w:pPr>
        <w:ind w:firstLine="567"/>
        <w:jc w:val="both"/>
        <w:rPr>
          <w:bCs/>
          <w:color w:val="000000"/>
          <w:sz w:val="28"/>
          <w:szCs w:val="28"/>
        </w:rPr>
      </w:pPr>
      <w:proofErr w:type="gramStart"/>
      <w:r>
        <w:rPr>
          <w:bCs/>
          <w:color w:val="000000"/>
          <w:sz w:val="28"/>
          <w:szCs w:val="28"/>
        </w:rPr>
        <w:t>Во втором полугодии 201</w:t>
      </w:r>
      <w:r w:rsidR="0007137A">
        <w:rPr>
          <w:bCs/>
          <w:color w:val="000000"/>
          <w:sz w:val="28"/>
          <w:szCs w:val="28"/>
        </w:rPr>
        <w:t>6</w:t>
      </w:r>
      <w:r>
        <w:rPr>
          <w:bCs/>
          <w:color w:val="000000"/>
          <w:sz w:val="28"/>
          <w:szCs w:val="28"/>
        </w:rPr>
        <w:t xml:space="preserve"> года проведено </w:t>
      </w:r>
      <w:r w:rsidR="0007137A">
        <w:rPr>
          <w:bCs/>
          <w:color w:val="000000"/>
          <w:sz w:val="28"/>
          <w:szCs w:val="28"/>
        </w:rPr>
        <w:t>5</w:t>
      </w:r>
      <w:r>
        <w:rPr>
          <w:bCs/>
          <w:color w:val="000000"/>
          <w:sz w:val="28"/>
          <w:szCs w:val="28"/>
        </w:rPr>
        <w:t xml:space="preserve"> проверок, из них </w:t>
      </w:r>
      <w:r w:rsidR="0007137A">
        <w:rPr>
          <w:bCs/>
          <w:color w:val="000000"/>
          <w:sz w:val="28"/>
          <w:szCs w:val="28"/>
        </w:rPr>
        <w:t>1</w:t>
      </w:r>
      <w:r>
        <w:rPr>
          <w:bCs/>
          <w:color w:val="000000"/>
          <w:sz w:val="28"/>
          <w:szCs w:val="28"/>
        </w:rPr>
        <w:t xml:space="preserve"> внепланов</w:t>
      </w:r>
      <w:r w:rsidR="0007137A">
        <w:rPr>
          <w:bCs/>
          <w:color w:val="000000"/>
          <w:sz w:val="28"/>
          <w:szCs w:val="28"/>
        </w:rPr>
        <w:t>ая</w:t>
      </w:r>
      <w:r>
        <w:rPr>
          <w:bCs/>
          <w:color w:val="000000"/>
          <w:sz w:val="28"/>
          <w:szCs w:val="28"/>
        </w:rPr>
        <w:t xml:space="preserve"> провер</w:t>
      </w:r>
      <w:r w:rsidR="0007137A">
        <w:rPr>
          <w:bCs/>
          <w:color w:val="000000"/>
          <w:sz w:val="28"/>
          <w:szCs w:val="28"/>
        </w:rPr>
        <w:t>ка</w:t>
      </w:r>
      <w:r>
        <w:rPr>
          <w:bCs/>
          <w:color w:val="000000"/>
          <w:sz w:val="28"/>
          <w:szCs w:val="28"/>
        </w:rPr>
        <w:t xml:space="preserve"> аптечн</w:t>
      </w:r>
      <w:r w:rsidR="0007137A">
        <w:rPr>
          <w:bCs/>
          <w:color w:val="000000"/>
          <w:sz w:val="28"/>
          <w:szCs w:val="28"/>
        </w:rPr>
        <w:t>ого</w:t>
      </w:r>
      <w:r>
        <w:rPr>
          <w:bCs/>
          <w:color w:val="000000"/>
          <w:sz w:val="28"/>
          <w:szCs w:val="28"/>
        </w:rPr>
        <w:t xml:space="preserve"> учреждени</w:t>
      </w:r>
      <w:r w:rsidR="0007137A">
        <w:rPr>
          <w:bCs/>
          <w:color w:val="000000"/>
          <w:sz w:val="28"/>
          <w:szCs w:val="28"/>
        </w:rPr>
        <w:t>я</w:t>
      </w:r>
      <w:r>
        <w:rPr>
          <w:bCs/>
          <w:color w:val="000000"/>
          <w:sz w:val="28"/>
          <w:szCs w:val="28"/>
        </w:rPr>
        <w:t xml:space="preserve"> (по требованию Прокуратуры); </w:t>
      </w:r>
      <w:r w:rsidR="0007137A">
        <w:rPr>
          <w:sz w:val="28"/>
          <w:szCs w:val="28"/>
        </w:rPr>
        <w:t>1</w:t>
      </w:r>
      <w:r>
        <w:rPr>
          <w:bCs/>
          <w:color w:val="000000"/>
          <w:sz w:val="28"/>
          <w:szCs w:val="28"/>
        </w:rPr>
        <w:t xml:space="preserve"> планов</w:t>
      </w:r>
      <w:r w:rsidR="0007137A">
        <w:rPr>
          <w:bCs/>
          <w:color w:val="000000"/>
          <w:sz w:val="28"/>
          <w:szCs w:val="28"/>
        </w:rPr>
        <w:t xml:space="preserve">ая </w:t>
      </w:r>
      <w:r>
        <w:rPr>
          <w:bCs/>
          <w:color w:val="000000"/>
          <w:sz w:val="28"/>
          <w:szCs w:val="28"/>
        </w:rPr>
        <w:t>проверк</w:t>
      </w:r>
      <w:r w:rsidR="0007137A">
        <w:rPr>
          <w:bCs/>
          <w:color w:val="000000"/>
          <w:sz w:val="28"/>
          <w:szCs w:val="28"/>
        </w:rPr>
        <w:t>а</w:t>
      </w:r>
      <w:r>
        <w:rPr>
          <w:bCs/>
          <w:color w:val="000000"/>
          <w:sz w:val="28"/>
          <w:szCs w:val="28"/>
        </w:rPr>
        <w:t xml:space="preserve"> организаци</w:t>
      </w:r>
      <w:r w:rsidR="0007137A">
        <w:rPr>
          <w:bCs/>
          <w:color w:val="000000"/>
          <w:sz w:val="28"/>
          <w:szCs w:val="28"/>
        </w:rPr>
        <w:t>и</w:t>
      </w:r>
      <w:r>
        <w:rPr>
          <w:bCs/>
          <w:color w:val="000000"/>
          <w:sz w:val="28"/>
          <w:szCs w:val="28"/>
        </w:rPr>
        <w:t>, осуществляющ</w:t>
      </w:r>
      <w:r w:rsidR="0007137A">
        <w:rPr>
          <w:bCs/>
          <w:color w:val="000000"/>
          <w:sz w:val="28"/>
          <w:szCs w:val="28"/>
        </w:rPr>
        <w:t>ей</w:t>
      </w:r>
      <w:r>
        <w:rPr>
          <w:bCs/>
          <w:color w:val="000000"/>
          <w:sz w:val="28"/>
          <w:szCs w:val="28"/>
        </w:rPr>
        <w:t xml:space="preserve"> деятельность в сфере </w:t>
      </w:r>
      <w:r>
        <w:rPr>
          <w:sz w:val="28"/>
          <w:szCs w:val="28"/>
        </w:rPr>
        <w:t xml:space="preserve">электроэнергетики; </w:t>
      </w:r>
      <w:r w:rsidR="0007137A">
        <w:rPr>
          <w:sz w:val="28"/>
          <w:szCs w:val="28"/>
        </w:rPr>
        <w:t>2</w:t>
      </w:r>
      <w:r>
        <w:rPr>
          <w:sz w:val="28"/>
          <w:szCs w:val="28"/>
        </w:rPr>
        <w:t xml:space="preserve"> плановые проверки</w:t>
      </w:r>
      <w:r>
        <w:rPr>
          <w:bCs/>
          <w:color w:val="000000"/>
          <w:sz w:val="28"/>
          <w:szCs w:val="28"/>
        </w:rPr>
        <w:t xml:space="preserve"> организаций, осуществляющих деятельность в сфере </w:t>
      </w:r>
      <w:r w:rsidR="0015036E">
        <w:rPr>
          <w:bCs/>
          <w:color w:val="000000"/>
          <w:sz w:val="28"/>
          <w:szCs w:val="28"/>
        </w:rPr>
        <w:t xml:space="preserve">электроэнергетики, </w:t>
      </w:r>
      <w:r>
        <w:rPr>
          <w:sz w:val="28"/>
          <w:szCs w:val="28"/>
        </w:rPr>
        <w:t>теплоснабжения, водоснабжения и водоотведения</w:t>
      </w:r>
      <w:r w:rsidR="0015036E">
        <w:rPr>
          <w:sz w:val="28"/>
          <w:szCs w:val="28"/>
        </w:rPr>
        <w:t>, утилизации и захоронения твердых бытовых отходов</w:t>
      </w:r>
      <w:r>
        <w:rPr>
          <w:sz w:val="28"/>
          <w:szCs w:val="28"/>
        </w:rPr>
        <w:t>; 1 плановая проверка</w:t>
      </w:r>
      <w:r>
        <w:rPr>
          <w:bCs/>
          <w:color w:val="000000"/>
          <w:sz w:val="28"/>
          <w:szCs w:val="28"/>
        </w:rPr>
        <w:t xml:space="preserve"> организации, осуществляющей </w:t>
      </w:r>
      <w:r w:rsidR="0007137A">
        <w:rPr>
          <w:bCs/>
          <w:color w:val="000000"/>
          <w:sz w:val="28"/>
          <w:szCs w:val="28"/>
        </w:rPr>
        <w:t>деятельность в сфере транспорта</w:t>
      </w:r>
      <w:r>
        <w:rPr>
          <w:bCs/>
          <w:color w:val="000000"/>
          <w:sz w:val="28"/>
          <w:szCs w:val="28"/>
        </w:rPr>
        <w:t>.</w:t>
      </w:r>
      <w:proofErr w:type="gramEnd"/>
    </w:p>
    <w:p w:rsidR="00455DE8" w:rsidRDefault="00455DE8" w:rsidP="00455DE8">
      <w:pPr>
        <w:ind w:firstLine="720"/>
        <w:jc w:val="both"/>
        <w:rPr>
          <w:sz w:val="28"/>
          <w:szCs w:val="28"/>
        </w:rPr>
      </w:pPr>
      <w:proofErr w:type="gramStart"/>
      <w:r>
        <w:rPr>
          <w:sz w:val="28"/>
          <w:szCs w:val="28"/>
        </w:rPr>
        <w:t>1) с 9 августа по 5 сентября 2016 года проведена плановая документарная проверка в отношении МУП ЖКХ «Иультинское» в части правильности применения утвержденных тарифов на электрическую энергию (мощность), тепловую энергию, холодное и горячее водоснабжение, водоотведение, услуги по утилизации, обезвреживанию и захоронению твердых бытовых отходов, соблюдения стандартов раскрытия информации, за 2015 год.</w:t>
      </w:r>
      <w:proofErr w:type="gramEnd"/>
    </w:p>
    <w:p w:rsidR="00455DE8" w:rsidRDefault="00455DE8" w:rsidP="00455DE8">
      <w:pPr>
        <w:ind w:firstLine="720"/>
        <w:jc w:val="both"/>
        <w:rPr>
          <w:sz w:val="28"/>
          <w:szCs w:val="28"/>
        </w:rPr>
      </w:pPr>
      <w:r>
        <w:rPr>
          <w:sz w:val="28"/>
          <w:szCs w:val="28"/>
        </w:rPr>
        <w:t>В ходе проверки выявлены следующие нарушения:</w:t>
      </w:r>
    </w:p>
    <w:p w:rsidR="00455DE8" w:rsidRDefault="00455DE8" w:rsidP="00455DE8">
      <w:pPr>
        <w:tabs>
          <w:tab w:val="left" w:pos="1260"/>
          <w:tab w:val="num" w:pos="2520"/>
        </w:tabs>
        <w:ind w:firstLine="709"/>
        <w:jc w:val="both"/>
        <w:rPr>
          <w:sz w:val="28"/>
          <w:szCs w:val="28"/>
        </w:rPr>
      </w:pPr>
      <w:r>
        <w:rPr>
          <w:sz w:val="28"/>
          <w:szCs w:val="28"/>
        </w:rPr>
        <w:t>- наименования оказываемой услуги по поставке тепловой энергии,  горячей воды в открытых системах теплоснабжения (горячего водоснабжения), питьевой воды, горячей воды (горячего водоснабжения), в актах оказания услуг теплоснабжения и счетах-фактурах не соответствует наименованию, определенному нормативными актами в области ценообразования в сфере теплоснабжения, водоснабжения и водоотведения;</w:t>
      </w:r>
    </w:p>
    <w:p w:rsidR="00455DE8" w:rsidRDefault="00455DE8" w:rsidP="00455DE8">
      <w:pPr>
        <w:pStyle w:val="3"/>
        <w:tabs>
          <w:tab w:val="left" w:pos="709"/>
        </w:tabs>
        <w:spacing w:after="0"/>
        <w:ind w:left="0" w:firstLine="709"/>
        <w:jc w:val="both"/>
        <w:rPr>
          <w:sz w:val="28"/>
          <w:szCs w:val="28"/>
        </w:rPr>
      </w:pPr>
      <w:proofErr w:type="gramStart"/>
      <w:r>
        <w:rPr>
          <w:sz w:val="28"/>
          <w:szCs w:val="28"/>
        </w:rPr>
        <w:t xml:space="preserve">- тариф на горячую воду в открытых системах теплоснабжения (горячего водоснабжения), применяемый для расчета оплаты за оказанные услуги Администрации городского поселения Мыс Шмидта, в  счетах-фактурах за июнь и декабрь 2015 года не соответствует тарифу, </w:t>
      </w:r>
      <w:r>
        <w:rPr>
          <w:sz w:val="28"/>
          <w:szCs w:val="28"/>
        </w:rPr>
        <w:lastRenderedPageBreak/>
        <w:t>утвержденному  постановлением Правления Комитета государственного регулирования цен и тарифов Чукотского автономного округа от 19 декабря 2014 года № 26-э/12 «Об установлении тарифов на горячую воду в открытых</w:t>
      </w:r>
      <w:proofErr w:type="gramEnd"/>
      <w:r>
        <w:rPr>
          <w:sz w:val="28"/>
          <w:szCs w:val="28"/>
        </w:rPr>
        <w:t xml:space="preserve"> системах теплоснабжения (горячего водоснабжения), </w:t>
      </w:r>
      <w:proofErr w:type="gramStart"/>
      <w:r>
        <w:rPr>
          <w:sz w:val="28"/>
          <w:szCs w:val="28"/>
        </w:rPr>
        <w:t>поставляемую</w:t>
      </w:r>
      <w:proofErr w:type="gramEnd"/>
      <w:r>
        <w:rPr>
          <w:sz w:val="28"/>
          <w:szCs w:val="28"/>
        </w:rPr>
        <w:t xml:space="preserve"> МУП ЖКХ «Иультинское», на 2015 год»;</w:t>
      </w:r>
    </w:p>
    <w:p w:rsidR="00455DE8" w:rsidRDefault="00455DE8" w:rsidP="00455DE8">
      <w:pPr>
        <w:tabs>
          <w:tab w:val="left" w:pos="1260"/>
          <w:tab w:val="num" w:pos="2520"/>
        </w:tabs>
        <w:ind w:firstLine="709"/>
        <w:jc w:val="both"/>
        <w:rPr>
          <w:sz w:val="28"/>
          <w:szCs w:val="28"/>
        </w:rPr>
      </w:pPr>
      <w:proofErr w:type="gramStart"/>
      <w:r>
        <w:rPr>
          <w:sz w:val="28"/>
          <w:szCs w:val="28"/>
        </w:rPr>
        <w:t>- тариф на водоотведение, применяемый для расчета оплаты за оказанные услуги, в  счетах-фактурах за июнь, декабрь 2015 года не соответствует тарифу, утвержденному постановлением Правления Комитета государственного регулирования цен и тарифов Чукотского автономного округа от 16 декабря 2014 года № 25-к/8 «Об установлении тарифов в сфере холодного водоснабжения и водоотведения МУП ЖКХ «Иультинское» на 2015 год»;</w:t>
      </w:r>
      <w:proofErr w:type="gramEnd"/>
    </w:p>
    <w:p w:rsidR="00455DE8" w:rsidRDefault="00455DE8" w:rsidP="00455DE8">
      <w:pPr>
        <w:tabs>
          <w:tab w:val="left" w:pos="1260"/>
          <w:tab w:val="num" w:pos="2520"/>
        </w:tabs>
        <w:ind w:firstLine="709"/>
        <w:jc w:val="both"/>
        <w:rPr>
          <w:sz w:val="28"/>
          <w:szCs w:val="28"/>
        </w:rPr>
      </w:pPr>
      <w:proofErr w:type="gramStart"/>
      <w:r>
        <w:rPr>
          <w:sz w:val="28"/>
          <w:szCs w:val="28"/>
        </w:rPr>
        <w:t>- нормативы потребления холодного и горячего водоснабжения, водоотведения применяемые для расчета платы граждан за коммунальные услуги в 75 счетах-фактурах, не соответствуют нормативам, утвержденным постановлением Правительства Чукотского автономного округа от 10 декабря 2013 года № 493 «Об утверждении нормативов потребления коммунальных услуг по холодному и горячему водоснабжению, водоотведению в помещениях многоквартирных домов и жилых домах на территории Чукотского автономного округа»;</w:t>
      </w:r>
      <w:proofErr w:type="gramEnd"/>
    </w:p>
    <w:p w:rsidR="00455DE8" w:rsidRDefault="00455DE8" w:rsidP="00455DE8">
      <w:pPr>
        <w:tabs>
          <w:tab w:val="left" w:pos="1260"/>
          <w:tab w:val="num" w:pos="2520"/>
        </w:tabs>
        <w:ind w:firstLine="709"/>
        <w:jc w:val="both"/>
        <w:rPr>
          <w:sz w:val="28"/>
          <w:szCs w:val="28"/>
        </w:rPr>
      </w:pPr>
      <w:r>
        <w:rPr>
          <w:sz w:val="28"/>
          <w:szCs w:val="28"/>
        </w:rPr>
        <w:t>- не соблюдены стандарты раскрытия информации в сфере электроэнергетики, теплоснабжения при опубликовании в печатном издании и на сайте в сети Интернет в части полноты и сроков раскрытия информации, стандарты раскрытия информации в сфере водоснабжения и водоотведения – в части срока раскрытия информации.</w:t>
      </w:r>
    </w:p>
    <w:p w:rsidR="00455DE8" w:rsidRDefault="00455DE8" w:rsidP="00455DE8">
      <w:pPr>
        <w:ind w:firstLine="709"/>
        <w:jc w:val="both"/>
        <w:rPr>
          <w:sz w:val="28"/>
          <w:szCs w:val="28"/>
        </w:rPr>
      </w:pPr>
      <w:r>
        <w:rPr>
          <w:sz w:val="28"/>
          <w:szCs w:val="28"/>
        </w:rPr>
        <w:t>Руководителю организации направлено Предписание об устранении выявленных нарушений. Письмом от 20 сентября 2016 года исх. № 01-09/4236 МУП ЖКХ «Иультинское» направил в Комитет пояснения по факту выявленных нарушений.</w:t>
      </w:r>
    </w:p>
    <w:p w:rsidR="00455DE8" w:rsidRDefault="00455DE8" w:rsidP="00455DE8">
      <w:pPr>
        <w:ind w:firstLine="709"/>
        <w:jc w:val="both"/>
        <w:rPr>
          <w:sz w:val="28"/>
          <w:szCs w:val="28"/>
        </w:rPr>
      </w:pPr>
      <w:r>
        <w:rPr>
          <w:sz w:val="28"/>
          <w:szCs w:val="28"/>
        </w:rPr>
        <w:t>2) с 21 по 30 сентября 2016 года проведена плановая выездная проверка ОАО «Анадырский морской порт» в части правильности применения установленных тарифов на погрузку и выгрузку грузов, за 2015 год.</w:t>
      </w:r>
    </w:p>
    <w:p w:rsidR="00455DE8" w:rsidRDefault="00455DE8" w:rsidP="00455DE8">
      <w:pPr>
        <w:ind w:firstLine="708"/>
        <w:jc w:val="both"/>
        <w:rPr>
          <w:sz w:val="28"/>
          <w:szCs w:val="28"/>
        </w:rPr>
      </w:pPr>
      <w:r>
        <w:rPr>
          <w:sz w:val="28"/>
          <w:szCs w:val="28"/>
        </w:rPr>
        <w:t>Нарушений применения установленных тарифов на погрузку и выгрузку грузов не выявлено.</w:t>
      </w:r>
    </w:p>
    <w:p w:rsidR="00455DE8" w:rsidRDefault="00455DE8" w:rsidP="00455DE8">
      <w:pPr>
        <w:ind w:firstLine="709"/>
        <w:jc w:val="both"/>
        <w:rPr>
          <w:bCs/>
          <w:sz w:val="28"/>
          <w:szCs w:val="28"/>
        </w:rPr>
      </w:pPr>
      <w:r>
        <w:rPr>
          <w:sz w:val="28"/>
          <w:szCs w:val="28"/>
        </w:rPr>
        <w:t xml:space="preserve">3) </w:t>
      </w:r>
      <w:r>
        <w:rPr>
          <w:bCs/>
          <w:sz w:val="28"/>
          <w:szCs w:val="28"/>
        </w:rPr>
        <w:t>с 19 по 30 сентября проведена плановая выездная проверка правильности применения платы за технологическое присоединение к электрическим сетям АО «Чукотэнерго», за 2015 год.</w:t>
      </w:r>
      <w:r>
        <w:rPr>
          <w:sz w:val="28"/>
          <w:szCs w:val="28"/>
        </w:rPr>
        <w:t xml:space="preserve"> </w:t>
      </w:r>
    </w:p>
    <w:p w:rsidR="00455DE8" w:rsidRDefault="00455DE8" w:rsidP="00455DE8">
      <w:pPr>
        <w:spacing w:line="276" w:lineRule="auto"/>
        <w:ind w:firstLine="709"/>
        <w:jc w:val="both"/>
        <w:rPr>
          <w:sz w:val="28"/>
          <w:szCs w:val="28"/>
        </w:rPr>
      </w:pPr>
      <w:r>
        <w:rPr>
          <w:sz w:val="28"/>
          <w:szCs w:val="28"/>
        </w:rPr>
        <w:t xml:space="preserve">В ходе проверки выявлены следующие нарушения: </w:t>
      </w:r>
    </w:p>
    <w:p w:rsidR="00455DE8" w:rsidRDefault="00455DE8" w:rsidP="00455DE8">
      <w:pPr>
        <w:tabs>
          <w:tab w:val="left" w:pos="993"/>
        </w:tabs>
        <w:ind w:firstLine="709"/>
        <w:jc w:val="both"/>
        <w:rPr>
          <w:b/>
          <w:sz w:val="28"/>
          <w:szCs w:val="28"/>
        </w:rPr>
      </w:pPr>
      <w:r>
        <w:rPr>
          <w:sz w:val="28"/>
          <w:szCs w:val="28"/>
        </w:rPr>
        <w:t xml:space="preserve">- в договоре об осуществлении технологического присоединения к электрическим сетям от 12.01.2015 года применена ставка платы, установленная на 2014 год,  недополученная выручка АО «Чукотэнерго» составила 19,9 тыс. рублей; </w:t>
      </w:r>
    </w:p>
    <w:p w:rsidR="00455DE8" w:rsidRDefault="00455DE8" w:rsidP="00455DE8">
      <w:pPr>
        <w:pStyle w:val="3"/>
        <w:tabs>
          <w:tab w:val="left" w:pos="709"/>
          <w:tab w:val="left" w:pos="851"/>
          <w:tab w:val="left" w:pos="993"/>
          <w:tab w:val="left" w:pos="1276"/>
        </w:tabs>
        <w:spacing w:after="0"/>
        <w:ind w:left="0" w:firstLine="709"/>
        <w:jc w:val="both"/>
        <w:rPr>
          <w:sz w:val="28"/>
          <w:szCs w:val="28"/>
        </w:rPr>
      </w:pPr>
      <w:r>
        <w:rPr>
          <w:sz w:val="28"/>
          <w:szCs w:val="28"/>
        </w:rPr>
        <w:t>- в счетах-фактурах, выставляемых ОП Анадырская ТЭЦ за присоединение устройств мощностью, не превышающей 15 к</w:t>
      </w:r>
      <w:proofErr w:type="gramStart"/>
      <w:r>
        <w:rPr>
          <w:sz w:val="28"/>
          <w:szCs w:val="28"/>
        </w:rPr>
        <w:t xml:space="preserve">Вт </w:t>
      </w:r>
      <w:r>
        <w:rPr>
          <w:sz w:val="28"/>
          <w:szCs w:val="28"/>
        </w:rPr>
        <w:lastRenderedPageBreak/>
        <w:t>вкл</w:t>
      </w:r>
      <w:proofErr w:type="gramEnd"/>
      <w:r>
        <w:rPr>
          <w:sz w:val="28"/>
          <w:szCs w:val="28"/>
        </w:rPr>
        <w:t>ючительно,  некорректно применена ставка платы, установленная постановлением Правления Комитета;</w:t>
      </w:r>
    </w:p>
    <w:p w:rsidR="00455DE8" w:rsidRDefault="00455DE8" w:rsidP="00455DE8">
      <w:pPr>
        <w:ind w:firstLine="709"/>
        <w:jc w:val="both"/>
        <w:rPr>
          <w:b/>
          <w:sz w:val="28"/>
          <w:szCs w:val="28"/>
        </w:rPr>
      </w:pPr>
      <w:r>
        <w:rPr>
          <w:sz w:val="28"/>
          <w:szCs w:val="28"/>
        </w:rPr>
        <w:t>- в некоторых счетах-фактурах, выставляемых филиалом АО «Чукотэнерго» Северные электрические сети, некорректно указано наименование оказанных услуг;</w:t>
      </w:r>
    </w:p>
    <w:p w:rsidR="00455DE8" w:rsidRDefault="00455DE8" w:rsidP="00455DE8">
      <w:pPr>
        <w:ind w:firstLine="709"/>
        <w:jc w:val="both"/>
        <w:rPr>
          <w:sz w:val="28"/>
          <w:szCs w:val="28"/>
        </w:rPr>
      </w:pPr>
      <w:r>
        <w:rPr>
          <w:sz w:val="28"/>
          <w:szCs w:val="28"/>
        </w:rPr>
        <w:t>- несоответствие величины заявленной и присоединяемой мощности по одному договору с физическим лицом;</w:t>
      </w:r>
    </w:p>
    <w:p w:rsidR="00455DE8" w:rsidRDefault="00455DE8" w:rsidP="00455DE8">
      <w:pPr>
        <w:pStyle w:val="3"/>
        <w:tabs>
          <w:tab w:val="left" w:pos="709"/>
          <w:tab w:val="left" w:pos="851"/>
          <w:tab w:val="left" w:pos="993"/>
        </w:tabs>
        <w:spacing w:after="0"/>
        <w:ind w:left="0" w:firstLine="709"/>
        <w:jc w:val="both"/>
        <w:rPr>
          <w:sz w:val="28"/>
          <w:szCs w:val="28"/>
        </w:rPr>
      </w:pPr>
      <w:r>
        <w:rPr>
          <w:sz w:val="28"/>
          <w:szCs w:val="28"/>
        </w:rPr>
        <w:t>- несоответствие требований по внесению платы за технологическое присоединение в договорах на технологическое присоединение устройств мощностью, не превышающей 15 к</w:t>
      </w:r>
      <w:proofErr w:type="gramStart"/>
      <w:r>
        <w:rPr>
          <w:sz w:val="28"/>
          <w:szCs w:val="28"/>
        </w:rPr>
        <w:t>Вт вкл</w:t>
      </w:r>
      <w:proofErr w:type="gramEnd"/>
      <w:r>
        <w:rPr>
          <w:sz w:val="28"/>
          <w:szCs w:val="28"/>
        </w:rPr>
        <w:t>ючительно, по филиалам и ОП АО «Чукотэнерго».</w:t>
      </w:r>
    </w:p>
    <w:p w:rsidR="00455DE8" w:rsidRDefault="00455DE8" w:rsidP="00455DE8">
      <w:pPr>
        <w:ind w:firstLine="709"/>
        <w:jc w:val="both"/>
        <w:rPr>
          <w:sz w:val="28"/>
          <w:szCs w:val="28"/>
        </w:rPr>
      </w:pPr>
      <w:r>
        <w:rPr>
          <w:sz w:val="28"/>
          <w:szCs w:val="28"/>
        </w:rPr>
        <w:t>Руководителю организации направлено Предписание об устранении выявленных нарушений. Письмом от 3 ноября 2016 года исх. № 20/53-07-4959/1 АО «Чукотэнерго» направил в Комитет пояснения по факту выявленных нарушений.</w:t>
      </w:r>
    </w:p>
    <w:p w:rsidR="00455DE8" w:rsidRDefault="00455DE8" w:rsidP="00455DE8">
      <w:pPr>
        <w:ind w:firstLine="709"/>
        <w:jc w:val="both"/>
        <w:rPr>
          <w:sz w:val="28"/>
          <w:szCs w:val="28"/>
        </w:rPr>
      </w:pPr>
      <w:r>
        <w:rPr>
          <w:sz w:val="28"/>
          <w:szCs w:val="28"/>
        </w:rPr>
        <w:t>4) с 1 по 29 ноября 2016 года проведена плановая документарная проверка в отношении МП «ЧРКХ» в части правильности применения утвержденных тарифов на электрическую энергию (мощность), тепловую энергию, холодное и горячее водоснабжение, водоотведение, услуги по утилизации, обезвреживанию и захоронению твердых бытовых отходов, соблюдения стандартов раскрытия информации, за 2015 год.</w:t>
      </w:r>
    </w:p>
    <w:p w:rsidR="00455DE8" w:rsidRDefault="00455DE8" w:rsidP="00455DE8">
      <w:pPr>
        <w:ind w:firstLine="709"/>
        <w:jc w:val="both"/>
        <w:rPr>
          <w:sz w:val="28"/>
          <w:szCs w:val="28"/>
        </w:rPr>
      </w:pPr>
      <w:r>
        <w:rPr>
          <w:sz w:val="28"/>
          <w:szCs w:val="28"/>
        </w:rPr>
        <w:t xml:space="preserve">В ходе проверки выявлены следующие нарушения: </w:t>
      </w:r>
    </w:p>
    <w:p w:rsidR="00455DE8" w:rsidRDefault="00455DE8" w:rsidP="00455DE8">
      <w:pPr>
        <w:tabs>
          <w:tab w:val="left" w:pos="1260"/>
        </w:tabs>
        <w:ind w:firstLine="709"/>
        <w:jc w:val="both"/>
        <w:rPr>
          <w:sz w:val="28"/>
          <w:szCs w:val="28"/>
        </w:rPr>
      </w:pPr>
      <w:r>
        <w:rPr>
          <w:sz w:val="28"/>
          <w:szCs w:val="28"/>
        </w:rPr>
        <w:t>- наименование единицы измерения электрической энергии в счетах-фактурах не соответствует нормативным актам в сфере электроэнергетики;</w:t>
      </w:r>
    </w:p>
    <w:p w:rsidR="00455DE8" w:rsidRDefault="00455DE8" w:rsidP="00455DE8">
      <w:pPr>
        <w:tabs>
          <w:tab w:val="left" w:pos="1260"/>
        </w:tabs>
        <w:ind w:firstLine="709"/>
        <w:jc w:val="both"/>
        <w:rPr>
          <w:sz w:val="28"/>
          <w:szCs w:val="28"/>
        </w:rPr>
      </w:pPr>
      <w:r>
        <w:rPr>
          <w:sz w:val="28"/>
          <w:szCs w:val="28"/>
        </w:rPr>
        <w:t>- наименование оказываемой услуги потребителям по поставке тепловой энергии, горячей воды в открытых системах теплоснабжения (горячего водоснабжения)  в актах оказания услуг теплоснабжения и счетах-фактурах не соответствует наименованию, определенному нормативными актами в области ценообразования в сфере теплоснабжения;</w:t>
      </w:r>
    </w:p>
    <w:p w:rsidR="00455DE8" w:rsidRDefault="00455DE8" w:rsidP="00455DE8">
      <w:pPr>
        <w:tabs>
          <w:tab w:val="left" w:pos="0"/>
        </w:tabs>
        <w:ind w:firstLine="709"/>
        <w:jc w:val="both"/>
        <w:rPr>
          <w:sz w:val="28"/>
          <w:szCs w:val="28"/>
        </w:rPr>
      </w:pPr>
      <w:r>
        <w:rPr>
          <w:sz w:val="28"/>
          <w:szCs w:val="28"/>
        </w:rPr>
        <w:t>- наименование оказываемой услуги потребителям по поставке питьевой воды и (подвоз воды) в счетах-фактурах не соответствует наименованию, определенному нормативными актами в области ценообразования в сфере водоснабжения и водоотведения;</w:t>
      </w:r>
    </w:p>
    <w:p w:rsidR="00455DE8" w:rsidRDefault="00455DE8" w:rsidP="00455DE8">
      <w:pPr>
        <w:tabs>
          <w:tab w:val="left" w:pos="1260"/>
        </w:tabs>
        <w:ind w:firstLine="709"/>
        <w:jc w:val="both"/>
        <w:rPr>
          <w:sz w:val="28"/>
          <w:szCs w:val="28"/>
        </w:rPr>
      </w:pPr>
      <w:r>
        <w:rPr>
          <w:sz w:val="28"/>
          <w:szCs w:val="28"/>
        </w:rPr>
        <w:t>- наименование оказываемой услуги потребителям в сфере утилизации, обезвреживания и захоронения твердых бытовых отходов в счетах-фактурах не соответствует наименованию, определенному нормативными актами в области ценообразования в сфере утилизации, обезвреживания и захоронения твердых бытовых отходов;</w:t>
      </w:r>
    </w:p>
    <w:p w:rsidR="00455DE8" w:rsidRDefault="00455DE8" w:rsidP="00455DE8">
      <w:pPr>
        <w:tabs>
          <w:tab w:val="left" w:pos="1260"/>
        </w:tabs>
        <w:ind w:firstLine="709"/>
        <w:jc w:val="both"/>
        <w:rPr>
          <w:sz w:val="28"/>
          <w:szCs w:val="28"/>
        </w:rPr>
      </w:pPr>
      <w:r>
        <w:rPr>
          <w:sz w:val="28"/>
          <w:szCs w:val="28"/>
        </w:rPr>
        <w:t>- не соблюдены стандарты раскрытия информации в сфере электроэнергетики, теплоснабжения при опубликовании в печатном издании и на сайте в сети Интернет в части полноты и сроков раскрытия информации; стандарты раскрытия информации в сфере водоснабжения и водоотведения – в части срока раскрытия информации.</w:t>
      </w:r>
    </w:p>
    <w:p w:rsidR="00455DE8" w:rsidRDefault="00455DE8" w:rsidP="00455DE8">
      <w:pPr>
        <w:ind w:firstLine="567"/>
        <w:jc w:val="both"/>
        <w:rPr>
          <w:sz w:val="28"/>
          <w:szCs w:val="28"/>
        </w:rPr>
      </w:pPr>
      <w:r>
        <w:rPr>
          <w:sz w:val="28"/>
          <w:szCs w:val="28"/>
        </w:rPr>
        <w:lastRenderedPageBreak/>
        <w:t>Руководителю организации направлено Предписание об устранении выявленных нарушений. Письмом от 29 декабря 2016 года исх. № 1221 МП «ЧРКХ» направил в Комитет пояснения по факту выявленных нарушений</w:t>
      </w:r>
    </w:p>
    <w:p w:rsidR="00CC1858" w:rsidRDefault="00455DE8" w:rsidP="00CC1858">
      <w:pPr>
        <w:ind w:firstLine="567"/>
        <w:jc w:val="both"/>
        <w:rPr>
          <w:sz w:val="28"/>
          <w:szCs w:val="28"/>
        </w:rPr>
      </w:pPr>
      <w:r>
        <w:rPr>
          <w:sz w:val="28"/>
          <w:szCs w:val="28"/>
        </w:rPr>
        <w:t>5</w:t>
      </w:r>
      <w:r w:rsidR="00CC1858">
        <w:rPr>
          <w:sz w:val="28"/>
          <w:szCs w:val="28"/>
        </w:rPr>
        <w:t xml:space="preserve">) В результате </w:t>
      </w:r>
      <w:r w:rsidR="0015036E">
        <w:rPr>
          <w:sz w:val="28"/>
          <w:szCs w:val="28"/>
        </w:rPr>
        <w:t xml:space="preserve">внеплановой </w:t>
      </w:r>
      <w:r w:rsidR="00CC1858">
        <w:rPr>
          <w:sz w:val="28"/>
          <w:szCs w:val="28"/>
        </w:rPr>
        <w:t>провер</w:t>
      </w:r>
      <w:r>
        <w:rPr>
          <w:sz w:val="28"/>
          <w:szCs w:val="28"/>
        </w:rPr>
        <w:t>ки</w:t>
      </w:r>
      <w:r w:rsidR="00CC1858">
        <w:rPr>
          <w:sz w:val="28"/>
          <w:szCs w:val="28"/>
        </w:rPr>
        <w:t xml:space="preserve"> </w:t>
      </w:r>
      <w:r>
        <w:rPr>
          <w:sz w:val="28"/>
          <w:szCs w:val="28"/>
        </w:rPr>
        <w:t xml:space="preserve">в июле 2016 года </w:t>
      </w:r>
      <w:r w:rsidR="00CC1858">
        <w:rPr>
          <w:sz w:val="28"/>
          <w:szCs w:val="28"/>
        </w:rPr>
        <w:t>аптечн</w:t>
      </w:r>
      <w:r>
        <w:rPr>
          <w:sz w:val="28"/>
          <w:szCs w:val="28"/>
        </w:rPr>
        <w:t>ого</w:t>
      </w:r>
      <w:r w:rsidR="00CC1858">
        <w:rPr>
          <w:sz w:val="28"/>
          <w:szCs w:val="28"/>
        </w:rPr>
        <w:t xml:space="preserve"> учреждени</w:t>
      </w:r>
      <w:r>
        <w:rPr>
          <w:sz w:val="28"/>
          <w:szCs w:val="28"/>
        </w:rPr>
        <w:t>я</w:t>
      </w:r>
      <w:r w:rsidR="00CC1858">
        <w:rPr>
          <w:sz w:val="28"/>
          <w:szCs w:val="28"/>
        </w:rPr>
        <w:t xml:space="preserve"> </w:t>
      </w:r>
      <w:r w:rsidR="0015036E">
        <w:rPr>
          <w:sz w:val="28"/>
          <w:szCs w:val="28"/>
        </w:rPr>
        <w:t>ООО «</w:t>
      </w:r>
      <w:proofErr w:type="gramStart"/>
      <w:r w:rsidR="0015036E">
        <w:rPr>
          <w:sz w:val="28"/>
          <w:szCs w:val="28"/>
        </w:rPr>
        <w:t>Ай-Болит</w:t>
      </w:r>
      <w:proofErr w:type="gramEnd"/>
      <w:r w:rsidR="0015036E">
        <w:rPr>
          <w:sz w:val="28"/>
          <w:szCs w:val="28"/>
        </w:rPr>
        <w:t xml:space="preserve">» </w:t>
      </w:r>
      <w:r w:rsidR="00CC1858">
        <w:rPr>
          <w:sz w:val="28"/>
          <w:szCs w:val="28"/>
        </w:rPr>
        <w:t>нарушений не выявлено.</w:t>
      </w:r>
    </w:p>
    <w:p w:rsidR="00CC1858" w:rsidRDefault="00CC1858" w:rsidP="00CC1858">
      <w:pPr>
        <w:ind w:firstLine="567"/>
        <w:jc w:val="both"/>
        <w:rPr>
          <w:sz w:val="28"/>
          <w:szCs w:val="28"/>
        </w:rPr>
      </w:pPr>
      <w:r>
        <w:rPr>
          <w:sz w:val="28"/>
          <w:szCs w:val="28"/>
        </w:rPr>
        <w:t>План проведения проверок юридических лиц и индивидуальных предпринимателей на 201</w:t>
      </w:r>
      <w:r w:rsidR="00455DE8">
        <w:rPr>
          <w:sz w:val="28"/>
          <w:szCs w:val="28"/>
        </w:rPr>
        <w:t>6</w:t>
      </w:r>
      <w:r>
        <w:rPr>
          <w:sz w:val="28"/>
          <w:szCs w:val="28"/>
        </w:rPr>
        <w:t xml:space="preserve"> год исполнен в полном объеме. </w:t>
      </w:r>
    </w:p>
    <w:p w:rsidR="00CC1858" w:rsidRDefault="00CC1858" w:rsidP="00CC1858">
      <w:pPr>
        <w:ind w:firstLine="567"/>
        <w:jc w:val="both"/>
        <w:rPr>
          <w:sz w:val="28"/>
          <w:szCs w:val="28"/>
        </w:rPr>
      </w:pPr>
      <w:r>
        <w:rPr>
          <w:sz w:val="28"/>
          <w:szCs w:val="28"/>
        </w:rPr>
        <w:t>2. Эксперты и представители экспертных организаций к проведению контрольных мероприятий по государственному контролю (надзору) не привлекались.</w:t>
      </w:r>
    </w:p>
    <w:p w:rsidR="00CC1858" w:rsidRDefault="00CC1858" w:rsidP="00CC1858">
      <w:pPr>
        <w:ind w:firstLine="567"/>
        <w:jc w:val="both"/>
        <w:rPr>
          <w:sz w:val="28"/>
          <w:szCs w:val="28"/>
        </w:rPr>
      </w:pPr>
      <w:r>
        <w:rPr>
          <w:sz w:val="28"/>
          <w:szCs w:val="28"/>
        </w:rPr>
        <w:t xml:space="preserve">3. </w:t>
      </w:r>
      <w:proofErr w:type="gramStart"/>
      <w:r>
        <w:rPr>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roofErr w:type="gramEnd"/>
    </w:p>
    <w:p w:rsidR="00886888" w:rsidRDefault="00886888" w:rsidP="00886888">
      <w:pPr>
        <w:rPr>
          <w:sz w:val="32"/>
          <w:szCs w:val="32"/>
        </w:rPr>
      </w:pPr>
    </w:p>
    <w:p w:rsidR="009061BB" w:rsidRPr="009061BB" w:rsidRDefault="009061BB" w:rsidP="009061BB">
      <w:pPr>
        <w:ind w:left="360"/>
        <w:jc w:val="center"/>
        <w:rPr>
          <w:bCs/>
          <w:color w:val="000000"/>
          <w:sz w:val="28"/>
          <w:szCs w:val="28"/>
        </w:rPr>
      </w:pPr>
      <w:r>
        <w:rPr>
          <w:bCs/>
          <w:color w:val="000000"/>
          <w:sz w:val="28"/>
          <w:szCs w:val="28"/>
        </w:rPr>
        <w:t xml:space="preserve">5. </w:t>
      </w:r>
      <w:r w:rsidRPr="009061BB">
        <w:rPr>
          <w:bCs/>
          <w:color w:val="000000"/>
          <w:sz w:val="28"/>
          <w:szCs w:val="28"/>
        </w:rPr>
        <w:t>Действия органов государственного контроля (надзора)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C1858" w:rsidRDefault="00CC1858" w:rsidP="00CC1858">
      <w:pPr>
        <w:ind w:left="-108" w:firstLine="675"/>
        <w:jc w:val="both"/>
        <w:rPr>
          <w:sz w:val="28"/>
          <w:szCs w:val="28"/>
        </w:rPr>
      </w:pPr>
      <w:r>
        <w:rPr>
          <w:sz w:val="28"/>
          <w:szCs w:val="28"/>
        </w:rPr>
        <w:t>1. В первом полугодии 201</w:t>
      </w:r>
      <w:r w:rsidR="007D3D70">
        <w:rPr>
          <w:sz w:val="28"/>
          <w:szCs w:val="28"/>
        </w:rPr>
        <w:t>6</w:t>
      </w:r>
      <w:r>
        <w:rPr>
          <w:sz w:val="28"/>
          <w:szCs w:val="28"/>
        </w:rPr>
        <w:t xml:space="preserve"> года по результатам контрольных мероприятий Комитетом выдано </w:t>
      </w:r>
      <w:r w:rsidR="007D3D70">
        <w:rPr>
          <w:sz w:val="28"/>
          <w:szCs w:val="28"/>
        </w:rPr>
        <w:t>1</w:t>
      </w:r>
      <w:r>
        <w:rPr>
          <w:sz w:val="28"/>
          <w:szCs w:val="28"/>
        </w:rPr>
        <w:t xml:space="preserve"> предписани</w:t>
      </w:r>
      <w:r w:rsidR="007D3D70">
        <w:rPr>
          <w:sz w:val="28"/>
          <w:szCs w:val="28"/>
        </w:rPr>
        <w:t>е</w:t>
      </w:r>
      <w:r>
        <w:rPr>
          <w:sz w:val="28"/>
          <w:szCs w:val="28"/>
        </w:rPr>
        <w:t xml:space="preserve"> об устранении выявленных нарушений</w:t>
      </w:r>
      <w:r w:rsidR="007D3D70">
        <w:rPr>
          <w:sz w:val="28"/>
          <w:szCs w:val="28"/>
        </w:rPr>
        <w:t>.</w:t>
      </w:r>
    </w:p>
    <w:p w:rsidR="00CC1858" w:rsidRDefault="00CC1858" w:rsidP="00CC1858">
      <w:pPr>
        <w:ind w:left="-108" w:firstLine="675"/>
        <w:jc w:val="both"/>
        <w:rPr>
          <w:sz w:val="28"/>
          <w:szCs w:val="28"/>
        </w:rPr>
      </w:pPr>
      <w:r>
        <w:rPr>
          <w:sz w:val="28"/>
          <w:szCs w:val="28"/>
        </w:rPr>
        <w:t>Во втором полугодии 201</w:t>
      </w:r>
      <w:r w:rsidR="007D3D70">
        <w:rPr>
          <w:sz w:val="28"/>
          <w:szCs w:val="28"/>
        </w:rPr>
        <w:t>6</w:t>
      </w:r>
      <w:r>
        <w:rPr>
          <w:sz w:val="28"/>
          <w:szCs w:val="28"/>
        </w:rPr>
        <w:t xml:space="preserve"> года по результатам контрольных мероприятий Комитетом выдано 3 предписания об устранении выявленных </w:t>
      </w:r>
      <w:r w:rsidRPr="003F37FD">
        <w:rPr>
          <w:sz w:val="28"/>
          <w:szCs w:val="28"/>
        </w:rPr>
        <w:t>нарушений</w:t>
      </w:r>
      <w:r w:rsidR="007D3D70" w:rsidRPr="003F37FD">
        <w:rPr>
          <w:sz w:val="28"/>
          <w:szCs w:val="28"/>
        </w:rPr>
        <w:t>.</w:t>
      </w:r>
      <w:r>
        <w:rPr>
          <w:sz w:val="28"/>
          <w:szCs w:val="28"/>
        </w:rPr>
        <w:t xml:space="preserve"> </w:t>
      </w:r>
    </w:p>
    <w:p w:rsidR="00CC1858" w:rsidRDefault="00CC1858" w:rsidP="00CC1858">
      <w:pPr>
        <w:ind w:left="-108" w:firstLine="675"/>
        <w:jc w:val="both"/>
        <w:rPr>
          <w:sz w:val="28"/>
          <w:szCs w:val="28"/>
        </w:rPr>
      </w:pPr>
      <w:r>
        <w:rPr>
          <w:sz w:val="28"/>
          <w:szCs w:val="28"/>
        </w:rPr>
        <w:t>2. Комитет на постоянной основе направляет в регулируемые организации округа информационные письма и рекомендации по соблюдению требований законодательство в сфере государственного регулирования цен (тарифов).</w:t>
      </w:r>
    </w:p>
    <w:p w:rsidR="00CC1858" w:rsidRDefault="00CC1858" w:rsidP="00CC1858">
      <w:pPr>
        <w:ind w:left="-108" w:firstLine="675"/>
        <w:jc w:val="both"/>
        <w:rPr>
          <w:sz w:val="28"/>
          <w:szCs w:val="28"/>
        </w:rPr>
      </w:pPr>
      <w:r>
        <w:rPr>
          <w:sz w:val="28"/>
          <w:szCs w:val="28"/>
        </w:rPr>
        <w:t>3. Основания и результаты проведения проверок юридическими лицами и индивидуальными предпринимателями, в отношении которых были проведены контрольные мероприятия, в суде не оспаривались.</w:t>
      </w:r>
    </w:p>
    <w:p w:rsidR="00886888" w:rsidRDefault="00886888" w:rsidP="00886888">
      <w:pPr>
        <w:rPr>
          <w:sz w:val="32"/>
          <w:szCs w:val="32"/>
        </w:rPr>
      </w:pPr>
    </w:p>
    <w:p w:rsidR="00031C39" w:rsidRPr="006B6B24" w:rsidRDefault="00031C39" w:rsidP="00031C39">
      <w:pPr>
        <w:pStyle w:val="ConsPlusNormal"/>
        <w:numPr>
          <w:ilvl w:val="0"/>
          <w:numId w:val="4"/>
        </w:numPr>
        <w:tabs>
          <w:tab w:val="left" w:pos="900"/>
        </w:tabs>
        <w:jc w:val="center"/>
        <w:rPr>
          <w:rFonts w:ascii="Times New Roman" w:hAnsi="Times New Roman" w:cs="Times New Roman"/>
          <w:sz w:val="28"/>
          <w:szCs w:val="28"/>
        </w:rPr>
      </w:pPr>
      <w:r w:rsidRPr="006B6B24">
        <w:rPr>
          <w:rFonts w:ascii="Times New Roman" w:hAnsi="Times New Roman" w:cs="Times New Roman"/>
          <w:sz w:val="28"/>
          <w:szCs w:val="28"/>
        </w:rPr>
        <w:t>Анализ и оценка эффективности государственного контроля (надзора)</w:t>
      </w:r>
    </w:p>
    <w:p w:rsidR="00886888" w:rsidRDefault="00886888" w:rsidP="00886888">
      <w:pPr>
        <w:rPr>
          <w:sz w:val="32"/>
          <w:szCs w:val="32"/>
        </w:rPr>
      </w:pPr>
    </w:p>
    <w:p w:rsidR="00CC1858" w:rsidRDefault="00CC1858" w:rsidP="00CC1858">
      <w:pPr>
        <w:ind w:firstLine="567"/>
        <w:jc w:val="both"/>
        <w:rPr>
          <w:sz w:val="28"/>
          <w:szCs w:val="28"/>
        </w:rPr>
      </w:pPr>
      <w:r>
        <w:rPr>
          <w:sz w:val="28"/>
          <w:szCs w:val="28"/>
        </w:rPr>
        <w:t>План проведения проверок юридических лиц и индивидуальных предпринимателей на 201</w:t>
      </w:r>
      <w:r w:rsidR="007D3D70">
        <w:rPr>
          <w:sz w:val="28"/>
          <w:szCs w:val="28"/>
        </w:rPr>
        <w:t>6</w:t>
      </w:r>
      <w:r>
        <w:rPr>
          <w:sz w:val="28"/>
          <w:szCs w:val="28"/>
        </w:rPr>
        <w:t xml:space="preserve"> год исполнен в полном объеме  - 100%. </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w:t>
      </w:r>
      <w:r>
        <w:rPr>
          <w:rFonts w:ascii="Times New Roman" w:hAnsi="Times New Roman" w:cs="Times New Roman"/>
          <w:sz w:val="28"/>
          <w:szCs w:val="28"/>
        </w:rPr>
        <w:lastRenderedPageBreak/>
        <w:t xml:space="preserve">которых было отказано  (в процентах общего числа направленных в органы прокуратуры заявлений) - 0%; </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проверок, результаты которых признаны недействительными  (в процентах общего числа проведенных проверок) - 0%;</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1-е полугодие– </w:t>
      </w:r>
      <w:r w:rsidR="00A962AB">
        <w:rPr>
          <w:rFonts w:ascii="Times New Roman" w:hAnsi="Times New Roman" w:cs="Times New Roman"/>
          <w:sz w:val="28"/>
          <w:szCs w:val="28"/>
        </w:rPr>
        <w:t>13,7</w:t>
      </w:r>
      <w:r>
        <w:rPr>
          <w:rFonts w:ascii="Times New Roman" w:hAnsi="Times New Roman" w:cs="Times New Roman"/>
          <w:sz w:val="28"/>
          <w:szCs w:val="28"/>
        </w:rPr>
        <w:t xml:space="preserve">%; 2-е полугодие </w:t>
      </w:r>
      <w:r w:rsidR="00A962AB">
        <w:rPr>
          <w:rFonts w:ascii="Times New Roman" w:hAnsi="Times New Roman" w:cs="Times New Roman"/>
          <w:sz w:val="28"/>
          <w:szCs w:val="28"/>
        </w:rPr>
        <w:t>–</w:t>
      </w:r>
      <w:r>
        <w:rPr>
          <w:rFonts w:ascii="Times New Roman" w:hAnsi="Times New Roman" w:cs="Times New Roman"/>
          <w:sz w:val="28"/>
          <w:szCs w:val="28"/>
        </w:rPr>
        <w:t xml:space="preserve"> </w:t>
      </w:r>
      <w:r w:rsidR="00A962AB">
        <w:rPr>
          <w:rFonts w:ascii="Times New Roman" w:hAnsi="Times New Roman" w:cs="Times New Roman"/>
          <w:sz w:val="28"/>
          <w:szCs w:val="28"/>
        </w:rPr>
        <w:t>9,8</w:t>
      </w:r>
      <w:r>
        <w:rPr>
          <w:rFonts w:ascii="Times New Roman" w:hAnsi="Times New Roman" w:cs="Times New Roman"/>
          <w:sz w:val="28"/>
          <w:szCs w:val="28"/>
        </w:rPr>
        <w:t>%;</w:t>
      </w:r>
      <w:proofErr w:type="gramEnd"/>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предпринимателя  1-е полугодие– 0,</w:t>
      </w:r>
      <w:r w:rsidR="00A962AB">
        <w:rPr>
          <w:rFonts w:ascii="Times New Roman" w:hAnsi="Times New Roman" w:cs="Times New Roman"/>
          <w:sz w:val="28"/>
          <w:szCs w:val="28"/>
        </w:rPr>
        <w:t>14</w:t>
      </w:r>
      <w:r>
        <w:rPr>
          <w:rFonts w:ascii="Times New Roman" w:hAnsi="Times New Roman" w:cs="Times New Roman"/>
          <w:sz w:val="28"/>
          <w:szCs w:val="28"/>
        </w:rPr>
        <w:t>%; 2-е полугодие – 0,</w:t>
      </w:r>
      <w:r w:rsidR="00A962AB">
        <w:rPr>
          <w:rFonts w:ascii="Times New Roman" w:hAnsi="Times New Roman" w:cs="Times New Roman"/>
          <w:sz w:val="28"/>
          <w:szCs w:val="28"/>
        </w:rPr>
        <w:t>10</w:t>
      </w:r>
      <w:r>
        <w:rPr>
          <w:rFonts w:ascii="Times New Roman" w:hAnsi="Times New Roman" w:cs="Times New Roman"/>
          <w:sz w:val="28"/>
          <w:szCs w:val="28"/>
        </w:rPr>
        <w:t>%;</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проведенных внеплановых проверок (в процентах общего количества проведенных проверок) 1-е полугодие – 85,7%; 2-е полугодие – </w:t>
      </w:r>
      <w:r w:rsidR="00A962AB">
        <w:rPr>
          <w:rFonts w:ascii="Times New Roman" w:hAnsi="Times New Roman" w:cs="Times New Roman"/>
          <w:sz w:val="28"/>
          <w:szCs w:val="28"/>
        </w:rPr>
        <w:t>20,0</w:t>
      </w:r>
      <w:r>
        <w:rPr>
          <w:rFonts w:ascii="Times New Roman" w:hAnsi="Times New Roman" w:cs="Times New Roman"/>
          <w:sz w:val="28"/>
          <w:szCs w:val="28"/>
        </w:rPr>
        <w:t>%;</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1-е полугодие– </w:t>
      </w:r>
      <w:r w:rsidR="00A962AB">
        <w:rPr>
          <w:rFonts w:ascii="Times New Roman" w:hAnsi="Times New Roman" w:cs="Times New Roman"/>
          <w:sz w:val="28"/>
          <w:szCs w:val="28"/>
        </w:rPr>
        <w:t>0</w:t>
      </w:r>
      <w:r>
        <w:rPr>
          <w:rFonts w:ascii="Times New Roman" w:hAnsi="Times New Roman" w:cs="Times New Roman"/>
          <w:sz w:val="28"/>
          <w:szCs w:val="28"/>
        </w:rPr>
        <w:t xml:space="preserve">%; 2-е полугодие – </w:t>
      </w:r>
      <w:r w:rsidR="00A962AB">
        <w:rPr>
          <w:rFonts w:ascii="Times New Roman" w:hAnsi="Times New Roman" w:cs="Times New Roman"/>
          <w:sz w:val="28"/>
          <w:szCs w:val="28"/>
        </w:rPr>
        <w:t>0</w:t>
      </w:r>
      <w:r>
        <w:rPr>
          <w:rFonts w:ascii="Times New Roman" w:hAnsi="Times New Roman" w:cs="Times New Roman"/>
          <w:sz w:val="28"/>
          <w:szCs w:val="28"/>
        </w:rPr>
        <w:t>%</w:t>
      </w:r>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rFonts w:ascii="Times New Roman" w:hAnsi="Times New Roman" w:cs="Times New Roman"/>
          <w:sz w:val="28"/>
          <w:szCs w:val="28"/>
        </w:rPr>
        <w:t xml:space="preserve"> проведенных внеплановых проверок) - 0%;</w:t>
      </w:r>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Pr>
          <w:rFonts w:ascii="Times New Roman" w:hAnsi="Times New Roman" w:cs="Times New Roman"/>
          <w:sz w:val="28"/>
          <w:szCs w:val="28"/>
        </w:rPr>
        <w:lastRenderedPageBreak/>
        <w:t>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cs="Times New Roman"/>
          <w:sz w:val="28"/>
          <w:szCs w:val="28"/>
        </w:rPr>
        <w:t xml:space="preserve"> (в процентах общего количества проведенных внеплановых проверок) – 0%;</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проверок, по итогам которых выявлены правонарушения (в процентах общего числа проведенных плановых и внеплановых проверок) 1-е полугодие– </w:t>
      </w:r>
      <w:r w:rsidR="008D7D26">
        <w:rPr>
          <w:rFonts w:ascii="Times New Roman" w:hAnsi="Times New Roman" w:cs="Times New Roman"/>
          <w:sz w:val="28"/>
          <w:szCs w:val="28"/>
        </w:rPr>
        <w:t>14,3</w:t>
      </w:r>
      <w:r>
        <w:rPr>
          <w:rFonts w:ascii="Times New Roman" w:hAnsi="Times New Roman" w:cs="Times New Roman"/>
          <w:sz w:val="28"/>
          <w:szCs w:val="28"/>
        </w:rPr>
        <w:t xml:space="preserve">%; 2-е полугодие – </w:t>
      </w:r>
      <w:r w:rsidR="008D7D26">
        <w:rPr>
          <w:rFonts w:ascii="Times New Roman" w:hAnsi="Times New Roman" w:cs="Times New Roman"/>
          <w:sz w:val="28"/>
          <w:szCs w:val="28"/>
        </w:rPr>
        <w:t>60,0</w:t>
      </w:r>
      <w:r>
        <w:rPr>
          <w:rFonts w:ascii="Times New Roman" w:hAnsi="Times New Roman" w:cs="Times New Roman"/>
          <w:sz w:val="28"/>
          <w:szCs w:val="28"/>
        </w:rPr>
        <w:t>%;</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1-е полугодие– </w:t>
      </w:r>
      <w:r w:rsidR="008D7D26">
        <w:rPr>
          <w:rFonts w:ascii="Times New Roman" w:hAnsi="Times New Roman" w:cs="Times New Roman"/>
          <w:sz w:val="28"/>
          <w:szCs w:val="28"/>
        </w:rPr>
        <w:t>0</w:t>
      </w:r>
      <w:r>
        <w:rPr>
          <w:rFonts w:ascii="Times New Roman" w:hAnsi="Times New Roman" w:cs="Times New Roman"/>
          <w:sz w:val="28"/>
          <w:szCs w:val="28"/>
        </w:rPr>
        <w:t>%; 2-е полугодие –0%;</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1-е полугодие–0%; 2-е полугодие –0%</w:t>
      </w:r>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bookmarkStart w:id="3" w:name="sub_1000619"/>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bookmarkStart w:id="4" w:name="sub_1000620"/>
      <w:bookmarkEnd w:id="3"/>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отношение суммы взысканных административных штрафов к общей </w:t>
      </w:r>
      <w:r>
        <w:rPr>
          <w:rFonts w:ascii="Times New Roman" w:hAnsi="Times New Roman" w:cs="Times New Roman"/>
          <w:sz w:val="28"/>
          <w:szCs w:val="28"/>
        </w:rPr>
        <w:lastRenderedPageBreak/>
        <w:t xml:space="preserve">сумме наложенных административных штрафов (в процентах) </w:t>
      </w:r>
      <w:bookmarkStart w:id="5" w:name="sub_1000621"/>
      <w:bookmarkEnd w:id="4"/>
      <w:r>
        <w:rPr>
          <w:rFonts w:ascii="Times New Roman" w:hAnsi="Times New Roman" w:cs="Times New Roman"/>
          <w:sz w:val="28"/>
          <w:szCs w:val="28"/>
        </w:rPr>
        <w:t>1-е полугодие–0%; 2-е полугодие –0%</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средний размер наложенного административного штрафа, в том числе на должностных лиц и юридических лиц (в тыс. рублей)</w:t>
      </w:r>
      <w:bookmarkEnd w:id="5"/>
      <w:r>
        <w:rPr>
          <w:rFonts w:ascii="Times New Roman" w:hAnsi="Times New Roman" w:cs="Times New Roman"/>
          <w:sz w:val="28"/>
          <w:szCs w:val="28"/>
        </w:rPr>
        <w:t xml:space="preserve"> 1-е полугодие– </w:t>
      </w:r>
      <w:r w:rsidR="008D7D26">
        <w:rPr>
          <w:rFonts w:ascii="Times New Roman" w:hAnsi="Times New Roman" w:cs="Times New Roman"/>
          <w:sz w:val="28"/>
          <w:szCs w:val="28"/>
        </w:rPr>
        <w:t>0</w:t>
      </w:r>
      <w:r>
        <w:rPr>
          <w:rFonts w:ascii="Times New Roman" w:hAnsi="Times New Roman" w:cs="Times New Roman"/>
          <w:sz w:val="28"/>
          <w:szCs w:val="28"/>
        </w:rPr>
        <w:t xml:space="preserve"> тыс. руб.; 2-е полугодие – </w:t>
      </w:r>
      <w:r w:rsidR="008D7D26">
        <w:rPr>
          <w:rFonts w:ascii="Times New Roman" w:hAnsi="Times New Roman" w:cs="Times New Roman"/>
          <w:sz w:val="28"/>
          <w:szCs w:val="28"/>
        </w:rPr>
        <w:t xml:space="preserve">0 </w:t>
      </w:r>
      <w:r>
        <w:rPr>
          <w:rFonts w:ascii="Times New Roman" w:hAnsi="Times New Roman" w:cs="Times New Roman"/>
          <w:sz w:val="28"/>
          <w:szCs w:val="28"/>
        </w:rPr>
        <w:t>тыс. руб.;</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031C39" w:rsidRDefault="00031C39" w:rsidP="00CC1858">
      <w:pPr>
        <w:pStyle w:val="ConsPlusNormal"/>
        <w:tabs>
          <w:tab w:val="left" w:pos="900"/>
        </w:tabs>
        <w:ind w:firstLine="539"/>
        <w:jc w:val="both"/>
        <w:rPr>
          <w:rFonts w:ascii="Times New Roman" w:hAnsi="Times New Roman" w:cs="Times New Roman"/>
          <w:sz w:val="28"/>
          <w:szCs w:val="28"/>
        </w:rPr>
      </w:pPr>
    </w:p>
    <w:p w:rsidR="00031C39" w:rsidRPr="0062451E" w:rsidRDefault="00031C39" w:rsidP="00031C39">
      <w:pPr>
        <w:pStyle w:val="aa"/>
        <w:numPr>
          <w:ilvl w:val="0"/>
          <w:numId w:val="5"/>
        </w:numPr>
        <w:spacing w:after="0" w:line="240" w:lineRule="auto"/>
        <w:jc w:val="center"/>
        <w:rPr>
          <w:rFonts w:ascii="Times New Roman" w:eastAsia="Times New Roman" w:hAnsi="Times New Roman" w:cs="Times New Roman"/>
          <w:bCs/>
          <w:color w:val="000000"/>
          <w:sz w:val="28"/>
          <w:szCs w:val="28"/>
          <w:lang w:eastAsia="ru-RU"/>
        </w:rPr>
      </w:pPr>
      <w:r w:rsidRPr="0062451E">
        <w:rPr>
          <w:rFonts w:ascii="Times New Roman" w:eastAsia="Times New Roman" w:hAnsi="Times New Roman" w:cs="Times New Roman"/>
          <w:bCs/>
          <w:color w:val="000000"/>
          <w:sz w:val="28"/>
          <w:szCs w:val="28"/>
          <w:lang w:eastAsia="ru-RU"/>
        </w:rPr>
        <w:t>Выводы и предложения по результатам государственного контроля (надзора)</w:t>
      </w:r>
    </w:p>
    <w:p w:rsidR="00031C39" w:rsidRDefault="00031C39" w:rsidP="00CC1858">
      <w:pPr>
        <w:pStyle w:val="ConsPlusNormal"/>
        <w:tabs>
          <w:tab w:val="left" w:pos="900"/>
        </w:tabs>
        <w:ind w:firstLine="539"/>
        <w:jc w:val="both"/>
        <w:rPr>
          <w:rFonts w:ascii="Times New Roman" w:hAnsi="Times New Roman" w:cs="Times New Roman"/>
          <w:sz w:val="28"/>
          <w:szCs w:val="28"/>
        </w:rPr>
      </w:pPr>
    </w:p>
    <w:p w:rsidR="00CC1858" w:rsidRDefault="00CC1858" w:rsidP="00CC1858">
      <w:pPr>
        <w:pStyle w:val="aa"/>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результатам контрольных мероприятий,  в случае отсутствия грубых нарушений, организации  вносят изменения в локальные акты, формы, документы приводят  их в соответствие с действующими федеральными нормативными правовыми актами.</w:t>
      </w:r>
    </w:p>
    <w:p w:rsidR="00CC1858" w:rsidRDefault="00CC1858" w:rsidP="00CC1858">
      <w:pPr>
        <w:pStyle w:val="aa"/>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Предложений по совершенствованию нормативно-правового регулирования и осуществления государственного контроля (надзора) Комитет не имеет.</w:t>
      </w:r>
    </w:p>
    <w:p w:rsidR="00404177" w:rsidRPr="00CC1858" w:rsidRDefault="00404177" w:rsidP="00886888">
      <w:pPr>
        <w:rPr>
          <w:sz w:val="32"/>
          <w:szCs w:val="32"/>
        </w:rPr>
      </w:pPr>
    </w:p>
    <w:p w:rsidR="00404177" w:rsidRPr="00CC1858" w:rsidRDefault="00404177" w:rsidP="00886888">
      <w:pPr>
        <w:rPr>
          <w:sz w:val="32"/>
          <w:szCs w:val="32"/>
        </w:rPr>
      </w:pP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4D1D4D">
      <w:rPr>
        <w:noProof/>
      </w:rPr>
      <w:t>11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78"/>
    <w:multiLevelType w:val="hybridMultilevel"/>
    <w:tmpl w:val="C02E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EB7F63"/>
    <w:multiLevelType w:val="hybridMultilevel"/>
    <w:tmpl w:val="5EF658A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EC4A86"/>
    <w:multiLevelType w:val="hybridMultilevel"/>
    <w:tmpl w:val="C02E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A8141E"/>
    <w:multiLevelType w:val="hybridMultilevel"/>
    <w:tmpl w:val="915850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1C39"/>
    <w:rsid w:val="00056E8E"/>
    <w:rsid w:val="0007137A"/>
    <w:rsid w:val="0015036E"/>
    <w:rsid w:val="003F37FD"/>
    <w:rsid w:val="00404177"/>
    <w:rsid w:val="0042029C"/>
    <w:rsid w:val="00455DE8"/>
    <w:rsid w:val="004D1D4D"/>
    <w:rsid w:val="004D1DCB"/>
    <w:rsid w:val="005542D8"/>
    <w:rsid w:val="005A1F26"/>
    <w:rsid w:val="005B5D4B"/>
    <w:rsid w:val="005D23AC"/>
    <w:rsid w:val="006961EB"/>
    <w:rsid w:val="00755FAF"/>
    <w:rsid w:val="007D3D70"/>
    <w:rsid w:val="0083213D"/>
    <w:rsid w:val="00843529"/>
    <w:rsid w:val="008852C4"/>
    <w:rsid w:val="00886888"/>
    <w:rsid w:val="008A0EF2"/>
    <w:rsid w:val="008D7D26"/>
    <w:rsid w:val="008E7D6B"/>
    <w:rsid w:val="009061BB"/>
    <w:rsid w:val="00A6696F"/>
    <w:rsid w:val="00A962AB"/>
    <w:rsid w:val="00B628C6"/>
    <w:rsid w:val="00CC1858"/>
    <w:rsid w:val="00CD6E5D"/>
    <w:rsid w:val="00D524F4"/>
    <w:rsid w:val="00DA0BF9"/>
    <w:rsid w:val="00DD671F"/>
    <w:rsid w:val="00DD745C"/>
    <w:rsid w:val="00E14580"/>
    <w:rsid w:val="00E823FF"/>
    <w:rsid w:val="00F128A5"/>
    <w:rsid w:val="00F31C3C"/>
    <w:rsid w:val="00FC18D1"/>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semiHidden/>
    <w:unhideWhenUsed/>
    <w:rsid w:val="00CC1858"/>
    <w:rPr>
      <w:color w:val="0000FF" w:themeColor="hyperlink"/>
      <w:u w:val="single"/>
    </w:rPr>
  </w:style>
  <w:style w:type="paragraph" w:styleId="aa">
    <w:name w:val="List Paragraph"/>
    <w:basedOn w:val="a"/>
    <w:uiPriority w:val="34"/>
    <w:qFormat/>
    <w:rsid w:val="00CC18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Гипертекстовая ссылка"/>
    <w:basedOn w:val="a0"/>
    <w:uiPriority w:val="99"/>
    <w:rsid w:val="00CC1858"/>
    <w:rPr>
      <w:rFonts w:ascii="Times New Roman" w:hAnsi="Times New Roman" w:cs="Times New Roman" w:hint="default"/>
      <w:b w:val="0"/>
      <w:bCs w:val="0"/>
      <w:color w:val="106BBE"/>
    </w:rPr>
  </w:style>
  <w:style w:type="paragraph" w:customStyle="1" w:styleId="ConsPlusNormal">
    <w:name w:val="ConsPlusNormal"/>
    <w:rsid w:val="00CC1858"/>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semiHidden/>
    <w:unhideWhenUsed/>
    <w:rsid w:val="00455DE8"/>
    <w:pPr>
      <w:spacing w:after="120"/>
      <w:ind w:left="283"/>
    </w:pPr>
    <w:rPr>
      <w:sz w:val="16"/>
      <w:szCs w:val="16"/>
    </w:rPr>
  </w:style>
  <w:style w:type="character" w:customStyle="1" w:styleId="30">
    <w:name w:val="Основной текст с отступом 3 Знак"/>
    <w:basedOn w:val="a0"/>
    <w:link w:val="3"/>
    <w:semiHidden/>
    <w:rsid w:val="00455DE8"/>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semiHidden/>
    <w:unhideWhenUsed/>
    <w:rsid w:val="00CC1858"/>
    <w:rPr>
      <w:color w:val="0000FF" w:themeColor="hyperlink"/>
      <w:u w:val="single"/>
    </w:rPr>
  </w:style>
  <w:style w:type="paragraph" w:styleId="aa">
    <w:name w:val="List Paragraph"/>
    <w:basedOn w:val="a"/>
    <w:uiPriority w:val="34"/>
    <w:qFormat/>
    <w:rsid w:val="00CC18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Гипертекстовая ссылка"/>
    <w:basedOn w:val="a0"/>
    <w:uiPriority w:val="99"/>
    <w:rsid w:val="00CC1858"/>
    <w:rPr>
      <w:rFonts w:ascii="Times New Roman" w:hAnsi="Times New Roman" w:cs="Times New Roman" w:hint="default"/>
      <w:b w:val="0"/>
      <w:bCs w:val="0"/>
      <w:color w:val="106BBE"/>
    </w:rPr>
  </w:style>
  <w:style w:type="paragraph" w:customStyle="1" w:styleId="ConsPlusNormal">
    <w:name w:val="ConsPlusNormal"/>
    <w:rsid w:val="00CC1858"/>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semiHidden/>
    <w:unhideWhenUsed/>
    <w:rsid w:val="00455DE8"/>
    <w:pPr>
      <w:spacing w:after="120"/>
      <w:ind w:left="283"/>
    </w:pPr>
    <w:rPr>
      <w:sz w:val="16"/>
      <w:szCs w:val="16"/>
    </w:rPr>
  </w:style>
  <w:style w:type="character" w:customStyle="1" w:styleId="30">
    <w:name w:val="Основной текст с отступом 3 Знак"/>
    <w:basedOn w:val="a0"/>
    <w:link w:val="3"/>
    <w:semiHidden/>
    <w:rsid w:val="00455DE8"/>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8308">
      <w:bodyDiv w:val="1"/>
      <w:marLeft w:val="0"/>
      <w:marRight w:val="0"/>
      <w:marTop w:val="0"/>
      <w:marBottom w:val="0"/>
      <w:divBdr>
        <w:top w:val="none" w:sz="0" w:space="0" w:color="auto"/>
        <w:left w:val="none" w:sz="0" w:space="0" w:color="auto"/>
        <w:bottom w:val="none" w:sz="0" w:space="0" w:color="auto"/>
        <w:right w:val="none" w:sz="0" w:space="0" w:color="auto"/>
      </w:divBdr>
    </w:div>
    <w:div w:id="655376856">
      <w:bodyDiv w:val="1"/>
      <w:marLeft w:val="0"/>
      <w:marRight w:val="0"/>
      <w:marTop w:val="0"/>
      <w:marBottom w:val="0"/>
      <w:divBdr>
        <w:top w:val="none" w:sz="0" w:space="0" w:color="auto"/>
        <w:left w:val="none" w:sz="0" w:space="0" w:color="auto"/>
        <w:bottom w:val="none" w:sz="0" w:space="0" w:color="auto"/>
        <w:right w:val="none" w:sz="0" w:space="0" w:color="auto"/>
      </w:divBdr>
    </w:div>
    <w:div w:id="755976830">
      <w:bodyDiv w:val="1"/>
      <w:marLeft w:val="0"/>
      <w:marRight w:val="0"/>
      <w:marTop w:val="0"/>
      <w:marBottom w:val="0"/>
      <w:divBdr>
        <w:top w:val="none" w:sz="0" w:space="0" w:color="auto"/>
        <w:left w:val="none" w:sz="0" w:space="0" w:color="auto"/>
        <w:bottom w:val="none" w:sz="0" w:space="0" w:color="auto"/>
        <w:right w:val="none" w:sz="0" w:space="0" w:color="auto"/>
      </w:divBdr>
    </w:div>
    <w:div w:id="1006253404">
      <w:bodyDiv w:val="1"/>
      <w:marLeft w:val="0"/>
      <w:marRight w:val="0"/>
      <w:marTop w:val="0"/>
      <w:marBottom w:val="0"/>
      <w:divBdr>
        <w:top w:val="none" w:sz="0" w:space="0" w:color="auto"/>
        <w:left w:val="none" w:sz="0" w:space="0" w:color="auto"/>
        <w:bottom w:val="none" w:sz="0" w:space="0" w:color="auto"/>
        <w:right w:val="none" w:sz="0" w:space="0" w:color="auto"/>
      </w:divBdr>
    </w:div>
    <w:div w:id="1322737040">
      <w:bodyDiv w:val="1"/>
      <w:marLeft w:val="0"/>
      <w:marRight w:val="0"/>
      <w:marTop w:val="0"/>
      <w:marBottom w:val="0"/>
      <w:divBdr>
        <w:top w:val="none" w:sz="0" w:space="0" w:color="auto"/>
        <w:left w:val="none" w:sz="0" w:space="0" w:color="auto"/>
        <w:bottom w:val="none" w:sz="0" w:space="0" w:color="auto"/>
        <w:right w:val="none" w:sz="0" w:space="0" w:color="auto"/>
      </w:divBdr>
    </w:div>
    <w:div w:id="1432899256">
      <w:bodyDiv w:val="1"/>
      <w:marLeft w:val="0"/>
      <w:marRight w:val="0"/>
      <w:marTop w:val="0"/>
      <w:marBottom w:val="0"/>
      <w:divBdr>
        <w:top w:val="none" w:sz="0" w:space="0" w:color="auto"/>
        <w:left w:val="none" w:sz="0" w:space="0" w:color="auto"/>
        <w:bottom w:val="none" w:sz="0" w:space="0" w:color="auto"/>
        <w:right w:val="none" w:sz="0" w:space="0" w:color="auto"/>
      </w:divBdr>
    </w:div>
    <w:div w:id="1442187174">
      <w:bodyDiv w:val="1"/>
      <w:marLeft w:val="0"/>
      <w:marRight w:val="0"/>
      <w:marTop w:val="0"/>
      <w:marBottom w:val="0"/>
      <w:divBdr>
        <w:top w:val="none" w:sz="0" w:space="0" w:color="auto"/>
        <w:left w:val="none" w:sz="0" w:space="0" w:color="auto"/>
        <w:bottom w:val="none" w:sz="0" w:space="0" w:color="auto"/>
        <w:right w:val="none" w:sz="0" w:space="0" w:color="auto"/>
      </w:divBdr>
    </w:div>
    <w:div w:id="1566455353">
      <w:bodyDiv w:val="1"/>
      <w:marLeft w:val="0"/>
      <w:marRight w:val="0"/>
      <w:marTop w:val="0"/>
      <w:marBottom w:val="0"/>
      <w:divBdr>
        <w:top w:val="none" w:sz="0" w:space="0" w:color="auto"/>
        <w:left w:val="none" w:sz="0" w:space="0" w:color="auto"/>
        <w:bottom w:val="none" w:sz="0" w:space="0" w:color="auto"/>
        <w:right w:val="none" w:sz="0" w:space="0" w:color="auto"/>
      </w:divBdr>
    </w:div>
    <w:div w:id="1690835174">
      <w:bodyDiv w:val="1"/>
      <w:marLeft w:val="0"/>
      <w:marRight w:val="0"/>
      <w:marTop w:val="0"/>
      <w:marBottom w:val="0"/>
      <w:divBdr>
        <w:top w:val="none" w:sz="0" w:space="0" w:color="auto"/>
        <w:left w:val="none" w:sz="0" w:space="0" w:color="auto"/>
        <w:bottom w:val="none" w:sz="0" w:space="0" w:color="auto"/>
        <w:right w:val="none" w:sz="0" w:space="0" w:color="auto"/>
      </w:divBdr>
    </w:div>
    <w:div w:id="1744722702">
      <w:bodyDiv w:val="1"/>
      <w:marLeft w:val="0"/>
      <w:marRight w:val="0"/>
      <w:marTop w:val="0"/>
      <w:marBottom w:val="0"/>
      <w:divBdr>
        <w:top w:val="none" w:sz="0" w:space="0" w:color="auto"/>
        <w:left w:val="none" w:sz="0" w:space="0" w:color="auto"/>
        <w:bottom w:val="none" w:sz="0" w:space="0" w:color="auto"/>
        <w:right w:val="none" w:sz="0" w:space="0" w:color="auto"/>
      </w:divBdr>
    </w:div>
    <w:div w:id="1756441638">
      <w:bodyDiv w:val="1"/>
      <w:marLeft w:val="0"/>
      <w:marRight w:val="0"/>
      <w:marTop w:val="0"/>
      <w:marBottom w:val="0"/>
      <w:divBdr>
        <w:top w:val="none" w:sz="0" w:space="0" w:color="auto"/>
        <w:left w:val="none" w:sz="0" w:space="0" w:color="auto"/>
        <w:bottom w:val="none" w:sz="0" w:space="0" w:color="auto"/>
        <w:right w:val="none" w:sz="0" w:space="0" w:color="auto"/>
      </w:divBdr>
    </w:div>
    <w:div w:id="1925920649">
      <w:bodyDiv w:val="1"/>
      <w:marLeft w:val="0"/>
      <w:marRight w:val="0"/>
      <w:marTop w:val="0"/>
      <w:marBottom w:val="0"/>
      <w:divBdr>
        <w:top w:val="none" w:sz="0" w:space="0" w:color="auto"/>
        <w:left w:val="none" w:sz="0" w:space="0" w:color="auto"/>
        <w:bottom w:val="none" w:sz="0" w:space="0" w:color="auto"/>
        <w:right w:val="none" w:sz="0" w:space="0" w:color="auto"/>
      </w:divBdr>
    </w:div>
    <w:div w:id="2127115643">
      <w:bodyDiv w:val="1"/>
      <w:marLeft w:val="0"/>
      <w:marRight w:val="0"/>
      <w:marTop w:val="0"/>
      <w:marBottom w:val="0"/>
      <w:divBdr>
        <w:top w:val="none" w:sz="0" w:space="0" w:color="auto"/>
        <w:left w:val="none" w:sz="0" w:space="0" w:color="auto"/>
        <w:bottom w:val="none" w:sz="0" w:space="0" w:color="auto"/>
        <w:right w:val="none" w:sz="0" w:space="0" w:color="auto"/>
      </w:divBdr>
    </w:div>
    <w:div w:id="21277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5;&#1091;&#1082;&#1086;&#1090;&#1082;&#1072;.&#1088;&#1092;/power/administrative_setting/kom_cen_tarif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67036.0" TargetMode="External"/><Relationship Id="rId4" Type="http://schemas.openxmlformats.org/officeDocument/2006/relationships/settings" Target="settings.xml"/><Relationship Id="rId9" Type="http://schemas.openxmlformats.org/officeDocument/2006/relationships/hyperlink" Target="garantF1://12067036.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2017-03-13T00:02:00Z</dcterms:created>
  <dcterms:modified xsi:type="dcterms:W3CDTF">2017-03-13T02:47:00Z</dcterms:modified>
</cp:coreProperties>
</file>