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11" w:rsidRDefault="00065A11" w:rsidP="0017467D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</w:t>
      </w:r>
    </w:p>
    <w:p w:rsidR="00065A11" w:rsidRDefault="00065A11" w:rsidP="0017467D">
      <w:pPr>
        <w:pStyle w:val="21"/>
        <w:ind w:firstLine="709"/>
        <w:rPr>
          <w:sz w:val="26"/>
        </w:rPr>
      </w:pPr>
      <w:r>
        <w:rPr>
          <w:b w:val="0"/>
          <w:bCs w:val="0"/>
        </w:rPr>
        <w:t xml:space="preserve"> </w:t>
      </w:r>
      <w:r>
        <w:rPr>
          <w:bCs w:val="0"/>
        </w:rPr>
        <w:t>о результатах деятельности  Комитета государственного регулирования цен и тарифов Чукотского автономного округа</w:t>
      </w:r>
      <w:r>
        <w:t xml:space="preserve"> за 201</w:t>
      </w:r>
      <w:r w:rsidR="00F20013">
        <w:t>7</w:t>
      </w:r>
      <w:r w:rsidR="00EA3E18">
        <w:t xml:space="preserve"> </w:t>
      </w:r>
      <w:r>
        <w:t>год</w:t>
      </w:r>
    </w:p>
    <w:p w:rsidR="00065A11" w:rsidRDefault="00065A11" w:rsidP="0017467D">
      <w:pPr>
        <w:pStyle w:val="21"/>
        <w:ind w:firstLine="709"/>
      </w:pPr>
    </w:p>
    <w:p w:rsidR="00065A11" w:rsidRDefault="00065A11" w:rsidP="0017467D">
      <w:pPr>
        <w:ind w:firstLine="709"/>
        <w:jc w:val="both"/>
        <w:rPr>
          <w:sz w:val="26"/>
          <w:szCs w:val="26"/>
        </w:rPr>
      </w:pPr>
    </w:p>
    <w:p w:rsidR="00A759C6" w:rsidRPr="009A40A5" w:rsidRDefault="00A759C6" w:rsidP="00A759C6">
      <w:pPr>
        <w:ind w:firstLine="709"/>
        <w:jc w:val="both"/>
        <w:rPr>
          <w:sz w:val="28"/>
          <w:szCs w:val="28"/>
        </w:rPr>
      </w:pPr>
      <w:r w:rsidRPr="009A40A5">
        <w:rPr>
          <w:sz w:val="28"/>
          <w:szCs w:val="28"/>
        </w:rPr>
        <w:t xml:space="preserve">Комитет государственного регулирования цен и тарифов Чукотского автономного округа (далее – Комитет) является органом исполнительной власти Чукотского автономного округа, уполномоченным осуществлять на территории Чукотского автономного округа правовое регулирование в сфере государственного регулирования цен (тарифов) на товары (услуги) в соответствии с законодательством Российской Федерации и государственный </w:t>
      </w:r>
      <w:proofErr w:type="gramStart"/>
      <w:r w:rsidRPr="009A40A5">
        <w:rPr>
          <w:sz w:val="28"/>
          <w:szCs w:val="28"/>
        </w:rPr>
        <w:t>контроль за</w:t>
      </w:r>
      <w:proofErr w:type="gramEnd"/>
      <w:r w:rsidRPr="009A40A5">
        <w:rPr>
          <w:sz w:val="28"/>
          <w:szCs w:val="28"/>
        </w:rPr>
        <w:t xml:space="preserve"> применением цен (тарифов).</w:t>
      </w:r>
      <w:r w:rsidRPr="00FC1EB2">
        <w:rPr>
          <w:sz w:val="28"/>
        </w:rPr>
        <w:t xml:space="preserve"> </w:t>
      </w:r>
    </w:p>
    <w:p w:rsidR="00A759C6" w:rsidRDefault="00A759C6" w:rsidP="00A759C6">
      <w:pPr>
        <w:ind w:firstLine="709"/>
        <w:jc w:val="both"/>
        <w:rPr>
          <w:sz w:val="28"/>
          <w:szCs w:val="28"/>
        </w:rPr>
      </w:pPr>
      <w:proofErr w:type="gramStart"/>
      <w:r w:rsidRPr="009A40A5">
        <w:rPr>
          <w:sz w:val="28"/>
          <w:szCs w:val="28"/>
        </w:rPr>
        <w:t>Деятельность Комитета осуществляется в соответствии с нормативными правовыми актами  Российской Федерации и Чукотского автономного округа,  направлена на  сдерживание необоснованного роста регулируемых цен (тарифов), проведение анализа эффективности действующих цен  (тарифов) и факторов, влияющих на динамику цен, соблюдение интересов производителей и потребителей продукции и услуг при установлении цен (тарифов), осуществление контроля за соблюдением  порядка формирования и  применения регулируемых цен и тарифов, оказание</w:t>
      </w:r>
      <w:proofErr w:type="gramEnd"/>
      <w:r w:rsidRPr="009A40A5">
        <w:rPr>
          <w:sz w:val="28"/>
          <w:szCs w:val="28"/>
        </w:rPr>
        <w:t xml:space="preserve"> методической и практической помощи</w:t>
      </w:r>
      <w:r>
        <w:rPr>
          <w:sz w:val="28"/>
          <w:szCs w:val="28"/>
        </w:rPr>
        <w:t xml:space="preserve">, предприятиям и организациям, осуществляющим </w:t>
      </w:r>
      <w:proofErr w:type="gramStart"/>
      <w:r>
        <w:rPr>
          <w:sz w:val="28"/>
          <w:szCs w:val="28"/>
        </w:rPr>
        <w:t>регулируемую</w:t>
      </w:r>
      <w:proofErr w:type="gramEnd"/>
      <w:r>
        <w:rPr>
          <w:sz w:val="28"/>
          <w:szCs w:val="28"/>
        </w:rPr>
        <w:t xml:space="preserve"> деятельности и </w:t>
      </w:r>
      <w:r w:rsidRPr="009A40A5">
        <w:rPr>
          <w:sz w:val="28"/>
          <w:szCs w:val="28"/>
        </w:rPr>
        <w:t>органам местного самоуправления</w:t>
      </w:r>
      <w:r>
        <w:rPr>
          <w:sz w:val="28"/>
          <w:szCs w:val="28"/>
        </w:rPr>
        <w:t>.</w:t>
      </w:r>
    </w:p>
    <w:p w:rsidR="00A759C6" w:rsidRPr="00EE7196" w:rsidRDefault="00A759C6" w:rsidP="00A759C6">
      <w:pPr>
        <w:pStyle w:val="a3"/>
        <w:spacing w:line="240" w:lineRule="auto"/>
        <w:ind w:firstLine="709"/>
        <w:rPr>
          <w:sz w:val="28"/>
          <w:szCs w:val="28"/>
        </w:rPr>
      </w:pPr>
      <w:r w:rsidRPr="009A40A5">
        <w:rPr>
          <w:sz w:val="28"/>
          <w:szCs w:val="28"/>
        </w:rPr>
        <w:t>В соответствии с Положением о Комитете государственного регулирования цен и тарифов Чукотского автономного округа, утвержденным постановлением Правительства Чукотского автономного округа от 7 июня 2007 г</w:t>
      </w:r>
      <w:r w:rsidRPr="00EE7196">
        <w:rPr>
          <w:sz w:val="28"/>
          <w:szCs w:val="28"/>
        </w:rPr>
        <w:t xml:space="preserve">ода № 75, Комитет устанавливает: 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цены (тарифы) на электрическую энергию (мощность), поставляемую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7196">
        <w:rPr>
          <w:rFonts w:eastAsiaTheme="minorHAnsi"/>
          <w:sz w:val="28"/>
          <w:szCs w:val="28"/>
          <w:lang w:eastAsia="en-US"/>
        </w:rPr>
        <w:t>цены (тарифы)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поставляемой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  <w:proofErr w:type="gramEnd"/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lastRenderedPageBreak/>
        <w:t>сбытовые надбавки гарантирующих поставщиков электрической энергии;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7196">
        <w:rPr>
          <w:rFonts w:eastAsiaTheme="minorHAnsi"/>
          <w:sz w:val="28"/>
          <w:szCs w:val="28"/>
          <w:lang w:eastAsia="en-US"/>
        </w:rPr>
        <w:t>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указанных тарифов;</w:t>
      </w:r>
      <w:proofErr w:type="gramEnd"/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21108"/>
      <w:r w:rsidRPr="00EE7196">
        <w:rPr>
          <w:rFonts w:eastAsiaTheme="minorHAnsi"/>
          <w:sz w:val="28"/>
          <w:szCs w:val="28"/>
          <w:lang w:eastAsia="en-US"/>
        </w:rPr>
        <w:t>тарифы на тепловую энергию (мощность), поставляемую теплоснабжающими организациями потребителям тепловой энергии (мощности), а также тарифы на тепловую энергию (мощность), поставляемую теплоснабжающими организациями другим теплоснабжающим организациям;</w:t>
      </w:r>
    </w:p>
    <w:bookmarkEnd w:id="0"/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тарифы на теплоноситель, поставляемый теплоснабжающими организациями потребителям тепловой энергии (мощности), другим теплоснабжающим организациям;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тарифы на услуги по передаче тепловой энергии, теплоносителя;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плату за услуги по поддержанию резервной тепловой мощности при отсутствии потребления тепловой энергии;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21112"/>
      <w:r w:rsidRPr="00EE7196">
        <w:rPr>
          <w:rFonts w:eastAsiaTheme="minorHAnsi"/>
          <w:sz w:val="28"/>
          <w:szCs w:val="28"/>
          <w:lang w:eastAsia="en-US"/>
        </w:rPr>
        <w:t>плату за подключение (технологическое присоединение) к системе теплоснабжения;</w:t>
      </w:r>
    </w:p>
    <w:bookmarkEnd w:id="1"/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тарифы на питьевую воду (питьевое водоснабжение), техническую воду, горячую воду (горячее водоснабжение), водоотведение;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тарифы на транспортировку воды, горячей воды, сточных вод;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тариф на подключение (технологическое присоединение) к централизованной системе холодного водоснабжения, горячего водоснабжения, водоотведения;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тариф на подвоз воды;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тарифы на холодное и горячее водоснабжение, водоотведение, отопление (теплоснабжение, в том числе поставки твердого топлива при наличии печного отопления) для населения;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цены на топливо твердое, топливо печное бытовое, реализуемое гражданам, управляющим организациям, товариществам собственников жилья, жилищным, жилищно-строительным кооперативам, созданным в целях удовлетворения потребностей граждан в жилье;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тарифы на погрузку и выгрузку грузов в морских портах;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тарифы на хранение грузов в морских портах;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21124"/>
      <w:r w:rsidRPr="00EE7196">
        <w:rPr>
          <w:rFonts w:eastAsiaTheme="minorHAnsi"/>
          <w:sz w:val="28"/>
          <w:szCs w:val="28"/>
          <w:lang w:eastAsia="en-US"/>
        </w:rPr>
        <w:t>тарифы на услуги буксиров, на услуги по предоставлению причалов, оказываемых в морских портах;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21127"/>
      <w:bookmarkEnd w:id="2"/>
      <w:r w:rsidRPr="00EE7196">
        <w:rPr>
          <w:rFonts w:eastAsiaTheme="minorHAnsi"/>
          <w:sz w:val="28"/>
          <w:szCs w:val="28"/>
          <w:lang w:eastAsia="en-US"/>
        </w:rPr>
        <w:t>аэропортовые сборы (сбор за взлет-посадку, сбор за стоянку, сбор за обеспечение авиационной безопасности, сбор за предоставление аэровокзального комплекса);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1128"/>
      <w:bookmarkEnd w:id="3"/>
      <w:r w:rsidRPr="00EE7196">
        <w:rPr>
          <w:rFonts w:eastAsiaTheme="minorHAnsi"/>
          <w:sz w:val="28"/>
          <w:szCs w:val="28"/>
          <w:lang w:eastAsia="en-US"/>
        </w:rPr>
        <w:lastRenderedPageBreak/>
        <w:t>тарифы на услуги в аэропортах (тариф за обслуживание пассажиров, тариф за обеспечение заправки авиационным топливом воздушного судна, тариф за хранение авиационного топлива);</w:t>
      </w:r>
    </w:p>
    <w:bookmarkEnd w:id="4"/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размер платы за перемещение и хранение задержанных транспортных средств на специализированных стоянках;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ставки для определения размера платы за проведение технической инвентаризации жилищного фонда;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наценки на продукцию (товары), реализуемую на предприятиях общественного питания при общеобразовательных школах, профтехучилищах, средних специальных учебных заведениях;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7196">
        <w:rPr>
          <w:rFonts w:eastAsiaTheme="minorHAnsi"/>
          <w:sz w:val="28"/>
          <w:szCs w:val="28"/>
          <w:lang w:eastAsia="en-US"/>
        </w:rPr>
        <w:t>предельные максимальные цены на работы по проведению территориального землеустройства в отношении земельных участков, предназначенных для ведения личного подсобного хозяйства, дачного хозяйства, огородничества, индивидуального гаражного или индивидуального жилищного строительства;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21131"/>
      <w:r w:rsidRPr="00EE7196">
        <w:rPr>
          <w:rFonts w:eastAsiaTheme="minorHAnsi"/>
          <w:sz w:val="28"/>
          <w:szCs w:val="28"/>
          <w:lang w:eastAsia="en-US"/>
        </w:rPr>
        <w:t>плату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её величину;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21132"/>
      <w:bookmarkEnd w:id="5"/>
      <w:r w:rsidRPr="00EE7196">
        <w:rPr>
          <w:rFonts w:eastAsiaTheme="minorHAnsi"/>
          <w:sz w:val="28"/>
          <w:szCs w:val="28"/>
          <w:lang w:eastAsia="en-US"/>
        </w:rPr>
        <w:t>предельные тарифы в области обращения с твердыми коммунальными отходами;</w:t>
      </w:r>
    </w:p>
    <w:p w:rsidR="00EE7196" w:rsidRPr="00EE7196" w:rsidRDefault="00EE7196" w:rsidP="00EE7196">
      <w:pPr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21133"/>
      <w:bookmarkEnd w:id="6"/>
      <w:r w:rsidRPr="00EE7196">
        <w:rPr>
          <w:rFonts w:eastAsiaTheme="minorHAnsi"/>
          <w:sz w:val="28"/>
          <w:szCs w:val="28"/>
          <w:lang w:eastAsia="en-US"/>
        </w:rPr>
        <w:t>размер платы за предоставление копий технических паспортов, оценочной и иной документации органами и организациями по государственному техническому учету и (или) технической инвентаризации.</w:t>
      </w:r>
    </w:p>
    <w:bookmarkEnd w:id="7"/>
    <w:p w:rsidR="00A759C6" w:rsidRPr="009A40A5" w:rsidRDefault="00A759C6" w:rsidP="00A759C6">
      <w:pPr>
        <w:pStyle w:val="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9A40A5">
        <w:rPr>
          <w:sz w:val="28"/>
          <w:szCs w:val="28"/>
        </w:rPr>
        <w:t xml:space="preserve">Комитет проводит экспертизу расчетов цен (тарифов) на товары (услуги), утверждаемых Правительством Чукотского автономного округа: </w:t>
      </w:r>
    </w:p>
    <w:p w:rsidR="00A759C6" w:rsidRPr="009A40A5" w:rsidRDefault="00A759C6" w:rsidP="00A759C6">
      <w:pPr>
        <w:pStyle w:val="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9A40A5">
        <w:rPr>
          <w:sz w:val="28"/>
          <w:szCs w:val="28"/>
        </w:rPr>
        <w:t>проведение государственного технического осмотра транспортных средств;</w:t>
      </w:r>
    </w:p>
    <w:p w:rsidR="00A759C6" w:rsidRPr="009A40A5" w:rsidRDefault="00A759C6" w:rsidP="00A759C6">
      <w:pPr>
        <w:pStyle w:val="3"/>
        <w:ind w:firstLine="709"/>
        <w:rPr>
          <w:sz w:val="28"/>
          <w:szCs w:val="28"/>
        </w:rPr>
      </w:pPr>
      <w:r w:rsidRPr="009A40A5">
        <w:rPr>
          <w:sz w:val="28"/>
          <w:szCs w:val="28"/>
        </w:rPr>
        <w:t>перевозки пассажиров и багажа на местных авиалиниях;</w:t>
      </w:r>
    </w:p>
    <w:p w:rsidR="00A759C6" w:rsidRPr="009A40A5" w:rsidRDefault="00A759C6" w:rsidP="00A759C6">
      <w:pPr>
        <w:pStyle w:val="Con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пассажиров морским транспортом;</w:t>
      </w:r>
    </w:p>
    <w:p w:rsidR="00A759C6" w:rsidRPr="009A40A5" w:rsidRDefault="00A759C6" w:rsidP="00A759C6">
      <w:pPr>
        <w:adjustRightInd w:val="0"/>
        <w:ind w:firstLine="709"/>
        <w:jc w:val="both"/>
        <w:rPr>
          <w:sz w:val="28"/>
          <w:szCs w:val="28"/>
        </w:rPr>
      </w:pPr>
      <w:r w:rsidRPr="009A40A5">
        <w:rPr>
          <w:sz w:val="28"/>
          <w:szCs w:val="28"/>
        </w:rPr>
        <w:t>предельные оптовые и предельные розничные надбавки к ценам на лекарственные средства, включенные в перечень жизненно необходимых и важнейших лекарственных средств.</w:t>
      </w:r>
    </w:p>
    <w:p w:rsidR="00A759C6" w:rsidRPr="009A40A5" w:rsidRDefault="00A759C6" w:rsidP="00A759C6">
      <w:pPr>
        <w:ind w:firstLine="709"/>
        <w:jc w:val="both"/>
        <w:rPr>
          <w:sz w:val="28"/>
          <w:szCs w:val="28"/>
        </w:rPr>
      </w:pPr>
      <w:r w:rsidRPr="009A40A5">
        <w:rPr>
          <w:sz w:val="28"/>
          <w:szCs w:val="28"/>
        </w:rPr>
        <w:t>Выполнение полномочий Комитета обеспечивается соответствующими ресурсами: штатной численностью, организационной структурой и финансированием из окружного бюджета. Штатная численность работников Комитета 15 человек.</w:t>
      </w:r>
    </w:p>
    <w:p w:rsidR="00A759C6" w:rsidRDefault="00A759C6" w:rsidP="00A759C6">
      <w:pPr>
        <w:ind w:firstLine="709"/>
        <w:jc w:val="both"/>
        <w:rPr>
          <w:sz w:val="28"/>
          <w:szCs w:val="28"/>
        </w:rPr>
      </w:pPr>
      <w:r w:rsidRPr="009A40A5">
        <w:rPr>
          <w:sz w:val="28"/>
          <w:szCs w:val="28"/>
        </w:rPr>
        <w:t xml:space="preserve">Для определения основных направлений деятельности в области регулирования и принятия решений по установление (утверждению) цен (тарифов) в Комитете государственного регулирования цен и тарифов создано Правление </w:t>
      </w:r>
      <w:r w:rsidRPr="000F26E9">
        <w:rPr>
          <w:sz w:val="28"/>
          <w:szCs w:val="28"/>
        </w:rPr>
        <w:t>в составе 7 человек, в состав которого входит представитель антимонопольного органа с правом совещательного голоса.</w:t>
      </w:r>
      <w:r w:rsidRPr="009A40A5">
        <w:rPr>
          <w:sz w:val="28"/>
          <w:szCs w:val="28"/>
        </w:rPr>
        <w:t xml:space="preserve"> </w:t>
      </w:r>
    </w:p>
    <w:p w:rsidR="00A759C6" w:rsidRPr="008F3FE7" w:rsidRDefault="00A759C6" w:rsidP="00A759C6">
      <w:pPr>
        <w:ind w:firstLine="709"/>
        <w:jc w:val="both"/>
        <w:rPr>
          <w:sz w:val="28"/>
          <w:szCs w:val="28"/>
        </w:rPr>
      </w:pPr>
      <w:r w:rsidRPr="008F3FE7">
        <w:rPr>
          <w:sz w:val="28"/>
          <w:szCs w:val="28"/>
        </w:rPr>
        <w:t>В целях обеспечения благоприятного инвестиционного климата Чукотского автономного округа и взаимодействия между Комитетом</w:t>
      </w:r>
      <w:r>
        <w:rPr>
          <w:sz w:val="28"/>
          <w:szCs w:val="28"/>
        </w:rPr>
        <w:t>,</w:t>
      </w:r>
      <w:r w:rsidRPr="008F3FE7">
        <w:rPr>
          <w:sz w:val="28"/>
          <w:szCs w:val="28"/>
        </w:rPr>
        <w:t xml:space="preserve"> гражданами Российской Федерации, организациями и общественными объединениями при реализации государственной политики в области </w:t>
      </w:r>
      <w:r w:rsidRPr="008F3FE7">
        <w:rPr>
          <w:sz w:val="28"/>
          <w:szCs w:val="28"/>
        </w:rPr>
        <w:lastRenderedPageBreak/>
        <w:t>государственного регулирования цен (тарифов) образован Общественный совет при Комитете, действующий на постоянной основе, в состав которого включены представители  потребителей электрической энергии.</w:t>
      </w:r>
    </w:p>
    <w:p w:rsidR="00F20013" w:rsidRDefault="00F20013" w:rsidP="00F20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государственное регулирование цен и тарифов осуществлялось в отношении следующих хозяйствующих субъектов: филиал </w:t>
      </w:r>
      <w:proofErr w:type="gramStart"/>
      <w:r>
        <w:rPr>
          <w:sz w:val="28"/>
          <w:szCs w:val="28"/>
        </w:rPr>
        <w:t xml:space="preserve">АО «Концерн Росэнергоатом» «Билибинская атомная станция», АО «Чукотэнерго», ГП ЧАО «Чукоткоммунхоз», МП ЖКХ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муниципального района, МП городского округа Анадырь «Городское коммунальное хозяйство», МП «ЧРКХ», МУП ЖКХ «Иультинское», МУП «Айсберг», ООО «Электро-</w:t>
      </w:r>
      <w:proofErr w:type="spellStart"/>
      <w:r>
        <w:rPr>
          <w:sz w:val="28"/>
          <w:szCs w:val="28"/>
        </w:rPr>
        <w:t>Инчоун</w:t>
      </w:r>
      <w:proofErr w:type="spellEnd"/>
      <w:r>
        <w:rPr>
          <w:sz w:val="28"/>
          <w:szCs w:val="28"/>
        </w:rPr>
        <w:t xml:space="preserve">», ООО «Тепло – </w:t>
      </w:r>
      <w:proofErr w:type="spellStart"/>
      <w:r>
        <w:rPr>
          <w:sz w:val="28"/>
          <w:szCs w:val="28"/>
        </w:rPr>
        <w:t>Инчоун</w:t>
      </w:r>
      <w:proofErr w:type="spellEnd"/>
      <w:r>
        <w:rPr>
          <w:sz w:val="28"/>
          <w:szCs w:val="28"/>
        </w:rPr>
        <w:t xml:space="preserve">», ООО «Тепло – Лаврентия», ООО «Тепло – Уэлен», ООО «Тепло – </w:t>
      </w:r>
      <w:proofErr w:type="spellStart"/>
      <w:r>
        <w:rPr>
          <w:sz w:val="28"/>
          <w:szCs w:val="28"/>
        </w:rPr>
        <w:t>Энурмино</w:t>
      </w:r>
      <w:proofErr w:type="spellEnd"/>
      <w:r>
        <w:rPr>
          <w:sz w:val="28"/>
          <w:szCs w:val="28"/>
        </w:rPr>
        <w:t>», ООО «Тепло-</w:t>
      </w:r>
      <w:proofErr w:type="spellStart"/>
      <w:r>
        <w:rPr>
          <w:sz w:val="28"/>
          <w:szCs w:val="28"/>
        </w:rPr>
        <w:t>Лорино</w:t>
      </w:r>
      <w:proofErr w:type="spellEnd"/>
      <w:r>
        <w:rPr>
          <w:sz w:val="28"/>
          <w:szCs w:val="28"/>
        </w:rPr>
        <w:t>», ООО «Тепло-</w:t>
      </w:r>
      <w:proofErr w:type="spellStart"/>
      <w:r>
        <w:rPr>
          <w:sz w:val="28"/>
          <w:szCs w:val="28"/>
        </w:rPr>
        <w:t>Нешкан</w:t>
      </w:r>
      <w:proofErr w:type="spellEnd"/>
      <w:r>
        <w:rPr>
          <w:sz w:val="28"/>
          <w:szCs w:val="28"/>
        </w:rPr>
        <w:t>», ООО «Автотранспортник Севера», ООО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-Энергия», ООО «Тепло-</w:t>
      </w:r>
      <w:proofErr w:type="spellStart"/>
      <w:r>
        <w:rPr>
          <w:sz w:val="28"/>
          <w:szCs w:val="28"/>
        </w:rPr>
        <w:t>Рыркайпий</w:t>
      </w:r>
      <w:proofErr w:type="spellEnd"/>
      <w:r>
        <w:rPr>
          <w:sz w:val="28"/>
          <w:szCs w:val="28"/>
        </w:rPr>
        <w:t>», ООО «ЧСБК», ООО «АКСУ», ООО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АТК», ООО «Полигон», ООО «Андезит», МУП ЖКХ «Юго-Восточный», МП «</w:t>
      </w:r>
      <w:proofErr w:type="spellStart"/>
      <w:r>
        <w:rPr>
          <w:sz w:val="28"/>
          <w:szCs w:val="28"/>
        </w:rPr>
        <w:t>Провиденское</w:t>
      </w:r>
      <w:proofErr w:type="spellEnd"/>
      <w:r>
        <w:rPr>
          <w:sz w:val="28"/>
          <w:szCs w:val="28"/>
        </w:rPr>
        <w:t xml:space="preserve"> ЖКХ», ООО «АКВАНИКА-ПЕВЕК», ГП ЧАО «</w:t>
      </w:r>
      <w:proofErr w:type="spellStart"/>
      <w:r>
        <w:rPr>
          <w:sz w:val="28"/>
          <w:szCs w:val="28"/>
        </w:rPr>
        <w:t>ЧукотАВИА</w:t>
      </w:r>
      <w:proofErr w:type="spellEnd"/>
      <w:r>
        <w:rPr>
          <w:sz w:val="28"/>
          <w:szCs w:val="28"/>
        </w:rPr>
        <w:t>», ГУП ЧАО «</w:t>
      </w:r>
      <w:proofErr w:type="spellStart"/>
      <w:r>
        <w:rPr>
          <w:sz w:val="28"/>
          <w:szCs w:val="28"/>
        </w:rPr>
        <w:t>Чукотснаб</w:t>
      </w:r>
      <w:proofErr w:type="spellEnd"/>
      <w:r>
        <w:rPr>
          <w:sz w:val="28"/>
          <w:szCs w:val="28"/>
        </w:rPr>
        <w:t>», ФКП «Аэропорты Чукотки», ГП ЧАО «Международный аэропорт Анадырь (Угольный)», ООО «</w:t>
      </w:r>
      <w:proofErr w:type="spellStart"/>
      <w:r>
        <w:rPr>
          <w:sz w:val="28"/>
          <w:szCs w:val="28"/>
        </w:rPr>
        <w:t>ЧукотАэроСбыт</w:t>
      </w:r>
      <w:proofErr w:type="spellEnd"/>
      <w:r>
        <w:rPr>
          <w:sz w:val="28"/>
          <w:szCs w:val="28"/>
        </w:rPr>
        <w:t xml:space="preserve">», ОАО «Анадырский морской порт», ОАО «Морской порт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», ОАО «Морской ордена «Знак почёта» торговый порт </w:t>
      </w:r>
      <w:proofErr w:type="spellStart"/>
      <w:r>
        <w:rPr>
          <w:sz w:val="28"/>
          <w:szCs w:val="28"/>
        </w:rPr>
        <w:t>Певек</w:t>
      </w:r>
      <w:proofErr w:type="spellEnd"/>
      <w:r>
        <w:rPr>
          <w:sz w:val="28"/>
          <w:szCs w:val="28"/>
        </w:rPr>
        <w:t>».</w:t>
      </w:r>
      <w:proofErr w:type="gramEnd"/>
    </w:p>
    <w:p w:rsidR="00A759C6" w:rsidRDefault="00A759C6" w:rsidP="00A75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электрическую и тепловую энергию, водоснабжение и водоотведение на 2018 год утверждены постановлениями Правления Комитета с календарной разбивкой: с 1 января и с 1 июля 2018 года.</w:t>
      </w:r>
    </w:p>
    <w:p w:rsidR="00A759C6" w:rsidRDefault="00A759C6" w:rsidP="00A759C6">
      <w:pPr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Тарифы на электрическую энергию (мощность), поставляемую потребителям округа, за исключением населения и приравненным к нему потребителям, установлены с учетом реализации мероприятий по доведению тарифов в Дальневосточном регионе до среднероссийского уровня и составили в первом полугодии 2018 года - 4,00 руб./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>, во втором полугодии - 4,64 руб./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>.</w:t>
      </w:r>
    </w:p>
    <w:p w:rsidR="00A759C6" w:rsidRDefault="00A759C6" w:rsidP="00A759C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электрическую энергию, поставляемую населению, установлены в трех вариантах, без изменения в течение 2018 года:</w:t>
      </w:r>
    </w:p>
    <w:p w:rsidR="00A759C6" w:rsidRDefault="00A759C6" w:rsidP="00A759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тариф, включающий в себя стоимость 1 киловатт-часа поставляемой энергии – 5,74 руб./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A759C6" w:rsidRDefault="00A759C6" w:rsidP="00A759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тариф, дифференцированный по двум зонам суток, включающий в себя полную стоимость поставки 1 киловатт-часа электрической энергии с учетом стоимости мощности: «дневная зона» -  6,60 руб./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>.,  «ночная зона» - 3,57 руб./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>;</w:t>
      </w:r>
    </w:p>
    <w:p w:rsidR="00A759C6" w:rsidRDefault="00A759C6" w:rsidP="00A759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тариф, дифференцированный по трем зонам суток:   «пиковая зона» - 7,38 руб./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>., «полупиковая зона» - 5,74 руб./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>., «ночная зона» - 3,57 руб./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>.</w:t>
      </w:r>
    </w:p>
    <w:p w:rsidR="00A759C6" w:rsidRDefault="00A759C6" w:rsidP="00A759C6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коммунальные услуги (тепловая энергия, водоснабжение и  водоотведение), поставляемые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установлены с 1 января 2018 года на уровне тарифов, действовавших в декабре 2017 года, с 1 июля рост тарифов составил от 100,0 до 140,3  %.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целью соблюдения индекса </w:t>
      </w:r>
      <w:r>
        <w:rPr>
          <w:sz w:val="28"/>
          <w:szCs w:val="28"/>
        </w:rPr>
        <w:t xml:space="preserve">роста платы граждан за коммунальные услуги (величина изменения размера платы граждан для Чукотского АО –  4 </w:t>
      </w:r>
      <w:r>
        <w:rPr>
          <w:sz w:val="28"/>
          <w:szCs w:val="28"/>
        </w:rPr>
        <w:lastRenderedPageBreak/>
        <w:t>%)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тарифы на коммунальные услуги для населения установлены с 1 января 2018 года на уровне тарифов, действовавших в декабре 2017 года; с 1 июля 2018 года рост тарифов составил: на холодную и горячую воду, водоотведение, тепловую энергию (печное отопление) – 106,0%, тарифы на электрическую энергию остались на уровне декабря 2017 года.</w:t>
      </w:r>
    </w:p>
    <w:p w:rsidR="00DA145C" w:rsidRDefault="00DA145C" w:rsidP="00DA145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течение 2017 года, в  связи с изменением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ставок сборов за наземное и аэропортовое обслуживание воздушных судов и пассажиров, стоимости полетного часа воздушных судов, увеличились тарифы на перевозки пассажиров воздушными судами ГП ЧАО «</w:t>
      </w:r>
      <w:proofErr w:type="spellStart"/>
      <w:r>
        <w:rPr>
          <w:sz w:val="28"/>
          <w:szCs w:val="28"/>
        </w:rPr>
        <w:t>ЧукотАВИА</w:t>
      </w:r>
      <w:proofErr w:type="spellEnd"/>
      <w:r>
        <w:rPr>
          <w:sz w:val="28"/>
          <w:szCs w:val="28"/>
        </w:rPr>
        <w:t xml:space="preserve">». Расчетные экономически обоснованные тарифы на перевозку пассажиров воздушным судном МИ-8 составляют от 6491 до 68883 рублей, воздушным судном </w:t>
      </w:r>
      <w:r>
        <w:rPr>
          <w:sz w:val="28"/>
          <w:szCs w:val="28"/>
          <w:lang w:val="en-US"/>
        </w:rPr>
        <w:t>DHC</w:t>
      </w:r>
      <w:r>
        <w:rPr>
          <w:sz w:val="28"/>
          <w:szCs w:val="28"/>
        </w:rPr>
        <w:t xml:space="preserve">-6 от 5118 до 47000 рублей, воздушными судами Ан-24 и Ан-26 от 13871 до                 27403 рублей. В целях социальной защиты сельского населения Правительством Чукотского автономного округа в 2017 году утверждены тарифы </w:t>
      </w:r>
      <w:proofErr w:type="gramStart"/>
      <w:r>
        <w:rPr>
          <w:sz w:val="28"/>
          <w:szCs w:val="28"/>
        </w:rPr>
        <w:t>на перевозку пассажиров на местных авиационных линиях от районных центров до национальных сел в размерах</w:t>
      </w:r>
      <w:proofErr w:type="gramEnd"/>
      <w:r>
        <w:rPr>
          <w:sz w:val="28"/>
          <w:szCs w:val="28"/>
        </w:rPr>
        <w:t xml:space="preserve"> от 3000 до 5000 рублей. Разница между расчетными и утвержденными тарифами возмещается из окружного бюджета. </w:t>
      </w:r>
      <w:r>
        <w:rPr>
          <w:color w:val="FF0000"/>
          <w:sz w:val="28"/>
          <w:szCs w:val="28"/>
        </w:rPr>
        <w:t xml:space="preserve">     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навигацию 2017 года утверждены тарифы на погрузку и выгрузку, хранение грузов, тарифы на перевозку пассажиров и багажа судами морских портов округа.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Тарифы на перевозку пассажиров через Анадырский лиман утверждены с учетом субсидий на покрытие расходов по эксплуатации катера, выделенных из окружного бюджета. Стоимость билета на перевозку одного взрослого пассажира составила 100 рублей, ребенка 12-16 лет – 50 рублей, дети до 12 лет перевозились бесплатно. Тарифы на перевозку пассажиров теплоходом морского класса «Капитан Сотников» утверждены на уровне тарифов 2016 года.</w:t>
      </w:r>
    </w:p>
    <w:p w:rsidR="00DA145C" w:rsidRPr="007A1091" w:rsidRDefault="00DA145C" w:rsidP="00423C61">
      <w:pPr>
        <w:pStyle w:val="30"/>
        <w:spacing w:after="0"/>
        <w:ind w:firstLine="426"/>
        <w:rPr>
          <w:sz w:val="28"/>
          <w:szCs w:val="28"/>
        </w:rPr>
      </w:pPr>
      <w:r w:rsidRPr="007A1091">
        <w:rPr>
          <w:sz w:val="28"/>
          <w:szCs w:val="28"/>
        </w:rPr>
        <w:t>В отчетном году проведены следующие контрольные мероприятия:</w:t>
      </w:r>
    </w:p>
    <w:p w:rsidR="00DA145C" w:rsidRDefault="00DA145C" w:rsidP="00423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80418">
        <w:rPr>
          <w:sz w:val="28"/>
          <w:szCs w:val="28"/>
        </w:rPr>
        <w:t xml:space="preserve"> </w:t>
      </w:r>
      <w:r>
        <w:rPr>
          <w:sz w:val="28"/>
          <w:szCs w:val="28"/>
        </w:rPr>
        <w:t>с 27 по 28 февраля 2017 года проведена плановая выездная проверка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отношении МП МО Анадырский муниципальный район «Фармация» в части правильности формирования розничных цен на лекарственные препараты, включенные в перечень жизненно необходимых и важнейших лекарственных препаратов.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нарушений не выявлено. 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 17 по 28 апреля 2017 года проведена плановая документарная проверка в отношении МП ЖКХ </w:t>
      </w:r>
      <w:proofErr w:type="spellStart"/>
      <w:r>
        <w:rPr>
          <w:sz w:val="28"/>
          <w:szCs w:val="28"/>
        </w:rPr>
        <w:t>Билибинского</w:t>
      </w:r>
      <w:proofErr w:type="spellEnd"/>
      <w:r>
        <w:rPr>
          <w:sz w:val="28"/>
          <w:szCs w:val="28"/>
        </w:rPr>
        <w:t xml:space="preserve"> муниципального района в части правильности применения установленной платы за технологическое присоединение к электрическим сетям и (или) стандартизованных тарифных ставок, определяющих её величину, за 2016 год.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применения установленных ставок платы за технологическое присоединение к электрическим сетям не выявлено.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 14 по 30 июня 2017 года проведена плановая выездная проверка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отношении ГУП ЧАО «</w:t>
      </w:r>
      <w:proofErr w:type="spellStart"/>
      <w:r>
        <w:rPr>
          <w:sz w:val="28"/>
          <w:szCs w:val="28"/>
        </w:rPr>
        <w:t>Чукотснаб</w:t>
      </w:r>
      <w:proofErr w:type="spellEnd"/>
      <w:r>
        <w:rPr>
          <w:sz w:val="28"/>
          <w:szCs w:val="28"/>
        </w:rPr>
        <w:t xml:space="preserve">» в части правильности применения </w:t>
      </w:r>
      <w:r>
        <w:rPr>
          <w:sz w:val="28"/>
          <w:szCs w:val="28"/>
        </w:rPr>
        <w:lastRenderedPageBreak/>
        <w:t>установленных тарифов за обеспечение заправки воздушных судов авиационным топливом и за хранение авиационного топлива, за 2016 год.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нарушений не выявлено. 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7 августа по 1 сентября 2017 года проведена плановая документарная проверка в отношении МУП «Айсберг» в части правильности применения утвержденных тарифов на электрическую энергию (мощность), тепловую энергию, холодное и горячее водоснабжение,  соблюдения стандартов раскрытия информации, за 2016 год.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следующие нарушения: </w:t>
      </w:r>
    </w:p>
    <w:p w:rsidR="00DA145C" w:rsidRDefault="00DA145C" w:rsidP="00DA145C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единицы измерения электрической энергии в счетах-фактурах  не соответствует нормативным актам в сфере электроэнергетики;</w:t>
      </w:r>
    </w:p>
    <w:p w:rsidR="00DA145C" w:rsidRDefault="00DA145C" w:rsidP="00DA1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оказываемой услуги потребителям по поставке тепловой энергии, горячей воды в открытых системах теплоснабжения (горячего водоснабжения) в актах и счетах-фактурах не соответствует наименованию, определенному нормативными актами в области ценообразования в сфере теплоснабжения;</w:t>
      </w:r>
    </w:p>
    <w:p w:rsidR="00DA145C" w:rsidRDefault="00DA145C" w:rsidP="00DA1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оказываемой услуги потребителям по поставке питьевой воды, холодного водоснабжения (подвоз воды) в счетах-фактурах не соответствует наименованию, определенному нормативными актами в области ценообразования в сфере водоснабжения и водоотведения;</w:t>
      </w:r>
    </w:p>
    <w:p w:rsidR="00DA145C" w:rsidRDefault="00DA145C" w:rsidP="00DA145C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>- частично не соблюдены стандарты раскрытия информации в сфере электроэнергетики при опубликовании в печатном издании и на сайте в сети Интернет в части полноты, сроков раскрытия и уведомления об источниках опубликования информации, стандарты раскрытия информации в сфере водоснабжения и водоотведения – в части срока раскрытия информации.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организации направлено Предписание об устранении выявленных нарушений. Письмом от 21 сентября 2017 года исх. № 2152 МУП «Айсберг» уведомил Комитет об устранении выявленных нарушений с приложением подтверждающих документов.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 25 сентября по 6 октября 2017 года проведена плановая выездная проверка в отношении ГП ЧАО «Чукоткоммунхоз» в части правильности применения установленной платы за технологическое присоединение к электрическим сетям и (или) стандартизованных тарифных ставок, определяющих её величину, за 2016 год.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применения установленных ставок платы за технологическое присоединение к электрическим сетям не выявлено.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 1 по 29 ноября 2017 года проведена плановая документарная проверка в отношении НАО «Морской порт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>» в части правильности применения установленных тарифов на погрузку и выгрузку грузов, за 2016 год.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следующие нарушения:</w:t>
      </w:r>
    </w:p>
    <w:p w:rsidR="00DA145C" w:rsidRDefault="00DA145C" w:rsidP="00DA145C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ошибочно применялись тарифы на погрузку и выгрузку грузов несоответствующей категории грузовых операций и завышенные тарифы по определенной категории грузов.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Руководителю организации направлено Предписание об устранении выявленных нарушений применения установленных тарифов на погрузку и выгрузку грузов посредством перерасчета или возврата денежных средств получателям услуг, в отношении которых применялись тарифы, не соответствующие нормативным правовым актам.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от 8 декабря 2017 года исх. № 160 НАО «Морской порт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>» уведомил Комитет об устранении выявленных нарушений с приложением подтверждающих документов.</w:t>
      </w:r>
    </w:p>
    <w:p w:rsidR="005B1545" w:rsidRPr="006E20EE" w:rsidRDefault="005B1545" w:rsidP="005B15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A1232D">
        <w:rPr>
          <w:sz w:val="28"/>
          <w:szCs w:val="28"/>
        </w:rPr>
        <w:t xml:space="preserve">) Ежемесячный мониторинг розничных цен по 49 наименованиям лекарственных препаратов по трём аптечным организациям - </w:t>
      </w:r>
      <w:r w:rsidR="00A1232D" w:rsidRPr="00A1232D">
        <w:rPr>
          <w:sz w:val="28"/>
          <w:szCs w:val="28"/>
        </w:rPr>
        <w:t>ООО</w:t>
      </w:r>
      <w:r w:rsidRPr="00A1232D">
        <w:rPr>
          <w:sz w:val="28"/>
          <w:szCs w:val="28"/>
        </w:rPr>
        <w:t xml:space="preserve"> «</w:t>
      </w:r>
      <w:proofErr w:type="spellStart"/>
      <w:r w:rsidRPr="00A1232D">
        <w:rPr>
          <w:sz w:val="28"/>
          <w:szCs w:val="28"/>
        </w:rPr>
        <w:t>Чукотфармация</w:t>
      </w:r>
      <w:proofErr w:type="spellEnd"/>
      <w:r w:rsidRPr="00A1232D">
        <w:rPr>
          <w:sz w:val="28"/>
          <w:szCs w:val="28"/>
        </w:rPr>
        <w:t xml:space="preserve">», ООО «Ай-Болит» и аптечный пункт ИП </w:t>
      </w:r>
      <w:proofErr w:type="spellStart"/>
      <w:r w:rsidRPr="00A1232D">
        <w:rPr>
          <w:sz w:val="28"/>
          <w:szCs w:val="28"/>
        </w:rPr>
        <w:t>Едимечева</w:t>
      </w:r>
      <w:proofErr w:type="spellEnd"/>
      <w:r w:rsidRPr="00A1232D">
        <w:rPr>
          <w:sz w:val="28"/>
          <w:szCs w:val="28"/>
        </w:rPr>
        <w:t xml:space="preserve"> Т.Н. Уровень фактических розничных цен на проверенные жизненно необходимые и важнейшие лекарственные препараты в аптечных организациях увеличивался в связи с изменением производителей, их фактических отпускных цен и, соответственно, цен поставщиков.</w:t>
      </w:r>
      <w:proofErr w:type="gramEnd"/>
      <w:r w:rsidRPr="00A1232D">
        <w:rPr>
          <w:sz w:val="28"/>
          <w:szCs w:val="28"/>
        </w:rPr>
        <w:t xml:space="preserve"> При этом розничные цены на жизненно необходимые и важнейш</w:t>
      </w:r>
      <w:bookmarkStart w:id="8" w:name="_GoBack"/>
      <w:bookmarkEnd w:id="8"/>
      <w:r w:rsidRPr="00A1232D">
        <w:rPr>
          <w:sz w:val="28"/>
          <w:szCs w:val="28"/>
        </w:rPr>
        <w:t>ие лекарственные препараты не превышали уровень предельных розничных цен, информация о которых размещена на сайте Чукотского автономного округа.</w:t>
      </w:r>
    </w:p>
    <w:p w:rsidR="00DA145C" w:rsidRPr="006E20EE" w:rsidRDefault="00A1232D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145C" w:rsidRPr="006E20EE">
        <w:rPr>
          <w:sz w:val="28"/>
          <w:szCs w:val="28"/>
        </w:rPr>
        <w:t xml:space="preserve">) </w:t>
      </w:r>
      <w:proofErr w:type="gramStart"/>
      <w:r w:rsidR="00DA145C" w:rsidRPr="006E20EE">
        <w:rPr>
          <w:sz w:val="28"/>
          <w:szCs w:val="28"/>
        </w:rPr>
        <w:t>Контроль за</w:t>
      </w:r>
      <w:proofErr w:type="gramEnd"/>
      <w:r w:rsidR="00DA145C" w:rsidRPr="006E20EE">
        <w:rPr>
          <w:sz w:val="28"/>
          <w:szCs w:val="28"/>
        </w:rPr>
        <w:t xml:space="preserve"> соблюдением стандартов раскрытия информации организациями, осуществляющими деятельность в сфере тепло-, водоснабжения, водоотведения, </w:t>
      </w:r>
      <w:r w:rsidR="00DA145C">
        <w:rPr>
          <w:sz w:val="28"/>
          <w:szCs w:val="28"/>
        </w:rPr>
        <w:t>обращения с твердыми коммунальными отходами</w:t>
      </w:r>
      <w:r w:rsidR="00DA145C" w:rsidRPr="006E20EE">
        <w:rPr>
          <w:sz w:val="28"/>
          <w:szCs w:val="28"/>
        </w:rPr>
        <w:t xml:space="preserve">. Форма контроля - систематическое наблюдение и анализ информации. </w:t>
      </w:r>
    </w:p>
    <w:p w:rsidR="00DA145C" w:rsidRPr="006E20EE" w:rsidRDefault="00A1232D" w:rsidP="00DA1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145C" w:rsidRPr="006E20EE">
        <w:rPr>
          <w:sz w:val="28"/>
          <w:szCs w:val="28"/>
        </w:rPr>
        <w:t xml:space="preserve">) </w:t>
      </w:r>
      <w:proofErr w:type="gramStart"/>
      <w:r w:rsidR="00DA145C" w:rsidRPr="006E20EE">
        <w:rPr>
          <w:sz w:val="28"/>
          <w:szCs w:val="28"/>
        </w:rPr>
        <w:t>Контроль за</w:t>
      </w:r>
      <w:proofErr w:type="gramEnd"/>
      <w:r w:rsidR="00DA145C" w:rsidRPr="006E20EE">
        <w:rPr>
          <w:sz w:val="28"/>
          <w:szCs w:val="28"/>
        </w:rPr>
        <w:t xml:space="preserve"> использованием инвестиционных ресурсов, включенных в регулируемые государством цены (тарифы) в сфере электроэнергетики и в сфере теплоснабжения. Форма контроля - систематическое наблюдение и анализ информации. </w:t>
      </w:r>
    </w:p>
    <w:p w:rsidR="00DA145C" w:rsidRDefault="00DA145C" w:rsidP="00DA145C">
      <w:pPr>
        <w:ind w:firstLine="709"/>
        <w:jc w:val="both"/>
        <w:rPr>
          <w:sz w:val="28"/>
          <w:szCs w:val="28"/>
        </w:rPr>
      </w:pPr>
      <w:r w:rsidRPr="003702E1">
        <w:rPr>
          <w:sz w:val="28"/>
          <w:szCs w:val="28"/>
        </w:rPr>
        <w:t xml:space="preserve">За отчетный год открыто </w:t>
      </w:r>
      <w:r>
        <w:rPr>
          <w:sz w:val="28"/>
          <w:szCs w:val="28"/>
        </w:rPr>
        <w:t>72</w:t>
      </w:r>
      <w:r w:rsidRPr="003702E1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3702E1">
        <w:rPr>
          <w:sz w:val="28"/>
          <w:szCs w:val="28"/>
        </w:rPr>
        <w:t xml:space="preserve"> об установлении тарифов, проведено 3</w:t>
      </w:r>
      <w:r>
        <w:rPr>
          <w:sz w:val="28"/>
          <w:szCs w:val="28"/>
        </w:rPr>
        <w:t>3</w:t>
      </w:r>
      <w:r w:rsidRPr="003702E1">
        <w:rPr>
          <w:sz w:val="28"/>
          <w:szCs w:val="28"/>
        </w:rPr>
        <w:t xml:space="preserve"> заседания Правления Комитета, на которых обсуждены вопросы по рассмотрению и установлению цен и тарифов, согласованию производственных программ организаций и иных вопросов, относящихся к компетенции Правления. Принято </w:t>
      </w:r>
      <w:r>
        <w:rPr>
          <w:sz w:val="28"/>
          <w:szCs w:val="28"/>
        </w:rPr>
        <w:t>90</w:t>
      </w:r>
      <w:r w:rsidRPr="003702E1">
        <w:rPr>
          <w:color w:val="FF0000"/>
          <w:sz w:val="28"/>
          <w:szCs w:val="28"/>
        </w:rPr>
        <w:t xml:space="preserve"> </w:t>
      </w:r>
      <w:r w:rsidRPr="003702E1">
        <w:rPr>
          <w:sz w:val="28"/>
          <w:szCs w:val="28"/>
        </w:rPr>
        <w:t xml:space="preserve">постановлений Правления Комитета,  утверждены </w:t>
      </w:r>
      <w:r w:rsidRPr="00150025">
        <w:rPr>
          <w:sz w:val="28"/>
          <w:szCs w:val="28"/>
        </w:rPr>
        <w:t>1</w:t>
      </w:r>
      <w:r>
        <w:rPr>
          <w:sz w:val="28"/>
          <w:szCs w:val="28"/>
        </w:rPr>
        <w:t>355</w:t>
      </w:r>
      <w:r w:rsidRPr="003702E1">
        <w:rPr>
          <w:b/>
          <w:color w:val="0000FF"/>
          <w:sz w:val="28"/>
          <w:szCs w:val="28"/>
        </w:rPr>
        <w:t xml:space="preserve"> </w:t>
      </w:r>
      <w:r w:rsidRPr="003702E1">
        <w:rPr>
          <w:sz w:val="28"/>
          <w:szCs w:val="28"/>
        </w:rPr>
        <w:t>тарифа в сфере электроэнергетики и теплоснабжения (тепловая энергия, теплоноситель, горячая вода), 4</w:t>
      </w:r>
      <w:r>
        <w:rPr>
          <w:sz w:val="28"/>
          <w:szCs w:val="28"/>
        </w:rPr>
        <w:t>7</w:t>
      </w:r>
      <w:r w:rsidRPr="003702E1">
        <w:rPr>
          <w:sz w:val="28"/>
          <w:szCs w:val="28"/>
        </w:rPr>
        <w:t xml:space="preserve">0 - в сфере водоснабжения, водоотведения, в области обращения с твердыми коммунальными отходами, </w:t>
      </w:r>
      <w:r w:rsidRPr="00EF6A47">
        <w:rPr>
          <w:sz w:val="28"/>
          <w:szCs w:val="28"/>
        </w:rPr>
        <w:t>1</w:t>
      </w:r>
      <w:r w:rsidRPr="009B4EBA">
        <w:rPr>
          <w:sz w:val="28"/>
          <w:szCs w:val="28"/>
        </w:rPr>
        <w:t xml:space="preserve">290 – в сфере морских портов, 77 - в сфере услуг в аэропортах. </w:t>
      </w:r>
      <w:proofErr w:type="gramStart"/>
      <w:r w:rsidRPr="009B4EBA">
        <w:rPr>
          <w:sz w:val="28"/>
          <w:szCs w:val="28"/>
        </w:rPr>
        <w:t xml:space="preserve">Подготовлены </w:t>
      </w:r>
      <w:r w:rsidRPr="000041D9">
        <w:rPr>
          <w:sz w:val="28"/>
          <w:szCs w:val="28"/>
        </w:rPr>
        <w:t>8 проектов постановлений Правительства округа, которыми утверждены 234 тарифа, в том числе на перевозку пассажиров, груза и багажа авиационным транспортом - 189 тарифов, на перевозку грузов и пассажиров морским транспортом, на погрузку и выгрузку угля  - 33 тарифов, стоимости периодических изданий – 12 тарифов и установлены предельные (максимальные) индексы изменения размера вносимой гражданами платы за коммунальные услуги.</w:t>
      </w:r>
      <w:proofErr w:type="gramEnd"/>
    </w:p>
    <w:p w:rsidR="00DA145C" w:rsidRDefault="00DA145C" w:rsidP="00DA145C">
      <w:pPr>
        <w:pStyle w:val="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проведения экспертизы расчетов тарифов по регулируемым видам деятельности получен общий экономический эффект в сумме 1891681 тыс. рублей, в том числе: </w:t>
      </w:r>
    </w:p>
    <w:p w:rsidR="00DA145C" w:rsidRDefault="00DA145C" w:rsidP="00DA1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регулировании тарифов в энергетической отрасли – 1</w:t>
      </w:r>
      <w:r>
        <w:rPr>
          <w:sz w:val="26"/>
        </w:rPr>
        <w:t xml:space="preserve">485424  </w:t>
      </w:r>
      <w:r>
        <w:rPr>
          <w:sz w:val="28"/>
          <w:szCs w:val="28"/>
        </w:rPr>
        <w:t xml:space="preserve"> тыс. рублей;</w:t>
      </w:r>
    </w:p>
    <w:p w:rsidR="00DA145C" w:rsidRDefault="00DA145C" w:rsidP="00DA1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регулировании тарифов в коммунальной  отрасли – 308277 тыс. рублей;</w:t>
      </w:r>
    </w:p>
    <w:p w:rsidR="00DA145C" w:rsidRDefault="00DA145C" w:rsidP="00DA14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регулировании тарифов в сфере транспорта и других отраслей – 97980 тыс. рублей.</w:t>
      </w:r>
    </w:p>
    <w:p w:rsidR="00065A11" w:rsidRDefault="00065A11" w:rsidP="0017467D">
      <w:pPr>
        <w:ind w:firstLine="709"/>
        <w:jc w:val="both"/>
        <w:rPr>
          <w:sz w:val="28"/>
          <w:szCs w:val="28"/>
        </w:rPr>
      </w:pPr>
    </w:p>
    <w:p w:rsidR="00065A11" w:rsidRDefault="00065A11" w:rsidP="0017467D">
      <w:pPr>
        <w:ind w:firstLine="709"/>
      </w:pPr>
    </w:p>
    <w:sectPr w:rsidR="00065A11" w:rsidSect="00A1232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E9"/>
    <w:rsid w:val="00065A11"/>
    <w:rsid w:val="0017467D"/>
    <w:rsid w:val="00306881"/>
    <w:rsid w:val="00353B5F"/>
    <w:rsid w:val="0038496D"/>
    <w:rsid w:val="00423C61"/>
    <w:rsid w:val="005B1545"/>
    <w:rsid w:val="006833BF"/>
    <w:rsid w:val="006F076F"/>
    <w:rsid w:val="00815805"/>
    <w:rsid w:val="009330E9"/>
    <w:rsid w:val="00A1232D"/>
    <w:rsid w:val="00A759C6"/>
    <w:rsid w:val="00A92203"/>
    <w:rsid w:val="00BD156F"/>
    <w:rsid w:val="00CF3498"/>
    <w:rsid w:val="00DA145C"/>
    <w:rsid w:val="00DC2F26"/>
    <w:rsid w:val="00E36516"/>
    <w:rsid w:val="00E6034C"/>
    <w:rsid w:val="00EA3E18"/>
    <w:rsid w:val="00EE7196"/>
    <w:rsid w:val="00F20013"/>
    <w:rsid w:val="00F5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5A11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5A11"/>
    <w:pPr>
      <w:spacing w:line="360" w:lineRule="auto"/>
      <w:ind w:firstLine="426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65A11"/>
    <w:pPr>
      <w:jc w:val="center"/>
    </w:pPr>
    <w:rPr>
      <w:b/>
      <w:bCs/>
      <w:sz w:val="28"/>
      <w:szCs w:val="28"/>
    </w:rPr>
  </w:style>
  <w:style w:type="paragraph" w:customStyle="1" w:styleId="3">
    <w:name w:val="Îñíîâíîé òåêñò ñ îòñòóïîì 3"/>
    <w:basedOn w:val="a"/>
    <w:rsid w:val="00065A11"/>
    <w:pPr>
      <w:widowControl w:val="0"/>
      <w:autoSpaceDE/>
      <w:autoSpaceDN/>
      <w:ind w:firstLine="851"/>
      <w:jc w:val="both"/>
    </w:pPr>
    <w:rPr>
      <w:szCs w:val="20"/>
    </w:rPr>
  </w:style>
  <w:style w:type="paragraph" w:customStyle="1" w:styleId="ConsNormal">
    <w:name w:val="ConsNormal"/>
    <w:rsid w:val="00065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30">
    <w:name w:val="Body Text Indent 3"/>
    <w:basedOn w:val="a"/>
    <w:link w:val="31"/>
    <w:uiPriority w:val="99"/>
    <w:semiHidden/>
    <w:unhideWhenUsed/>
    <w:rsid w:val="00065A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65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E7196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E7196"/>
    <w:pPr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E71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5A11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5A11"/>
    <w:pPr>
      <w:spacing w:line="360" w:lineRule="auto"/>
      <w:ind w:firstLine="426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65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65A11"/>
    <w:pPr>
      <w:jc w:val="center"/>
    </w:pPr>
    <w:rPr>
      <w:b/>
      <w:bCs/>
      <w:sz w:val="28"/>
      <w:szCs w:val="28"/>
    </w:rPr>
  </w:style>
  <w:style w:type="paragraph" w:customStyle="1" w:styleId="3">
    <w:name w:val="Îñíîâíîé òåêñò ñ îòñòóïîì 3"/>
    <w:basedOn w:val="a"/>
    <w:rsid w:val="00065A11"/>
    <w:pPr>
      <w:widowControl w:val="0"/>
      <w:autoSpaceDE/>
      <w:autoSpaceDN/>
      <w:ind w:firstLine="851"/>
      <w:jc w:val="both"/>
    </w:pPr>
    <w:rPr>
      <w:szCs w:val="20"/>
    </w:rPr>
  </w:style>
  <w:style w:type="paragraph" w:customStyle="1" w:styleId="ConsNormal">
    <w:name w:val="ConsNormal"/>
    <w:rsid w:val="00065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30">
    <w:name w:val="Body Text Indent 3"/>
    <w:basedOn w:val="a"/>
    <w:link w:val="31"/>
    <w:uiPriority w:val="99"/>
    <w:semiHidden/>
    <w:unhideWhenUsed/>
    <w:rsid w:val="00065A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65A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E7196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E7196"/>
    <w:pPr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E7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Демещенко Мария Геннадьевна</dc:creator>
  <cp:keywords/>
  <dc:description/>
  <cp:lastModifiedBy>Демещенко Мария Геннадьевна</cp:lastModifiedBy>
  <cp:revision>23</cp:revision>
  <cp:lastPrinted>2018-03-28T05:18:00Z</cp:lastPrinted>
  <dcterms:created xsi:type="dcterms:W3CDTF">2016-03-28T23:36:00Z</dcterms:created>
  <dcterms:modified xsi:type="dcterms:W3CDTF">2018-03-28T05:29:00Z</dcterms:modified>
</cp:coreProperties>
</file>