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color w:val="000000"/>
        </w:rPr>
      </w:pPr>
      <w:bookmarkStart w:id="0" w:name="_GoBack"/>
      <w:bookmarkEnd w:id="0"/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67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74"/>
      </w:tblGrid>
      <w:tr>
        <w:trPr/>
        <w:tc>
          <w:tcPr>
            <w:tcW w:w="10674" w:type="dxa"/>
            <w:tcBorders/>
            <w:shd w:fill="auto" w:val="clear"/>
          </w:tcPr>
          <w:p>
            <w:pPr>
              <w:pStyle w:val="1"/>
              <w:spacing w:before="0" w:after="120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ДЕПАРТАМЕНТ  СОЦИАЛЬНОЙ  ПОЛИТИКИ  ЧУКОТСКОГО  АВТОНОМНОГО  ОКРУГА</w:t>
            </w:r>
          </w:p>
          <w:p>
            <w:pPr>
              <w:pStyle w:val="Normal"/>
              <w:spacing w:before="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1"/>
        <w:keepNext/>
        <w:spacing w:before="0" w:after="12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9"/>
        <w:gridCol w:w="3265"/>
        <w:gridCol w:w="235"/>
        <w:gridCol w:w="608"/>
        <w:gridCol w:w="1126"/>
        <w:gridCol w:w="3858"/>
      </w:tblGrid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rPr/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5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09.02.2018 года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left"/>
              <w:rPr/>
            </w:pPr>
            <w:r>
              <w:rPr>
                <w:b/>
                <w:bCs/>
                <w:sz w:val="26"/>
                <w:szCs w:val="26"/>
              </w:rPr>
              <w:t>202</w:t>
            </w:r>
          </w:p>
        </w:tc>
        <w:tc>
          <w:tcPr>
            <w:tcW w:w="385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ind w:firstLine="5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tbl>
      <w:tblPr>
        <w:tblW w:w="4485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</w:tblGrid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firstLine="520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дополнения в приказ Департамента социальной политики Чукотского автономного округа от 29 ноября 2016 года № 2374</w:t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>
      <w:pPr>
        <w:pStyle w:val="Normal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в приказ Департамента социальной политики Чукотского автономного округа от 29 ноября 2016 года № 2374 </w:t>
      </w:r>
      <w:bookmarkStart w:id="1" w:name="__DdeLink__318_951060976"/>
      <w:r>
        <w:rPr>
          <w:sz w:val="26"/>
          <w:szCs w:val="26"/>
        </w:rPr>
        <w:t>«Об утверждении Положения о Комиссии по соблюдению требований к служебному поведению государственных гражданских служащих Департамента и урегулированию конфликта интересов»</w:t>
      </w:r>
      <w:bookmarkEnd w:id="1"/>
      <w:r>
        <w:rPr>
          <w:sz w:val="26"/>
          <w:szCs w:val="26"/>
        </w:rPr>
        <w:t>, следующее дополнение:</w:t>
      </w:r>
    </w:p>
    <w:p>
      <w:pPr>
        <w:pStyle w:val="Normal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в Положении о Комиссии по соблюдению требований к служебному поведению государственных гражданских служащих Департамента и урегулированию конфликта интересов:</w:t>
      </w:r>
    </w:p>
    <w:p>
      <w:pPr>
        <w:pStyle w:val="Normal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color w:val="auto"/>
          <w:sz w:val="26"/>
          <w:szCs w:val="26"/>
        </w:rPr>
        <w:t xml:space="preserve">раздел </w:t>
      </w:r>
      <w:r>
        <w:rPr>
          <w:b w:val="false"/>
          <w:bCs w:val="false"/>
          <w:color w:val="auto"/>
          <w:sz w:val="26"/>
          <w:szCs w:val="26"/>
          <w:lang w:val="en-US"/>
        </w:rPr>
        <w:t>III</w:t>
      </w:r>
      <w:r>
        <w:rPr>
          <w:b w:val="false"/>
          <w:bCs w:val="false"/>
          <w:color w:val="auto"/>
          <w:sz w:val="26"/>
          <w:szCs w:val="26"/>
        </w:rPr>
        <w:t xml:space="preserve"> «Порядок работы Комиссии по рассмотрению материалов проверки»</w:t>
      </w:r>
      <w:r>
        <w:rPr>
          <w:color w:val="auto"/>
          <w:sz w:val="26"/>
          <w:szCs w:val="26"/>
        </w:rPr>
        <w:t xml:space="preserve"> дополнить подпунктом 3.6.1 следующего содержания:</w:t>
      </w:r>
    </w:p>
    <w:p>
      <w:pPr>
        <w:pStyle w:val="Normal"/>
        <w:ind w:left="0" w:right="0" w:firstLine="737"/>
        <w:jc w:val="both"/>
        <w:rPr/>
      </w:pPr>
      <w:r>
        <w:rPr>
          <w:color w:val="auto"/>
          <w:sz w:val="26"/>
          <w:szCs w:val="26"/>
        </w:rPr>
        <w:tab/>
      </w: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«3.6.1 Мотивированные заключения, предусмотренные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абзацем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вторым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подпункта 2 пункта 3.1,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подпунктом 4 пункта 3.1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и </w:t>
      </w:r>
      <w:r>
        <w:rPr>
          <w:rStyle w:val="Style8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абзацем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пятым </w:t>
      </w:r>
      <w:hyperlink w:anchor="sub_101624">
        <w:r>
          <w:rPr>
            <w:rStyle w:val="Style7"/>
            <w:rFonts w:eastAsia="Calibri"/>
            <w:b w:val="false"/>
            <w:bCs w:val="false"/>
            <w:i w:val="false"/>
            <w:iCs w:val="false"/>
            <w:color w:val="auto"/>
            <w:sz w:val="26"/>
            <w:szCs w:val="26"/>
            <w:u w:val="none"/>
          </w:rPr>
          <w:t>подпункта 2 пункта 3.1</w:t>
        </w:r>
      </w:hyperlink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настоящего Положения</w:t>
      </w: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, должны содержать: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а) информацию, изложенную в обращениях или уведомлениях, указанных в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абзацем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вторым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подпункта 2 пункта 3.1,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подпунктом 4 пункта 3.1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и </w:t>
      </w:r>
      <w:r>
        <w:rPr>
          <w:rStyle w:val="Style8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абзацем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пятым </w:t>
      </w:r>
      <w:hyperlink w:anchor="sub_101624">
        <w:r>
          <w:rPr>
            <w:rStyle w:val="Style7"/>
            <w:rFonts w:eastAsia="Calibri"/>
            <w:b w:val="false"/>
            <w:bCs w:val="false"/>
            <w:i w:val="false"/>
            <w:iCs w:val="false"/>
            <w:color w:val="auto"/>
            <w:sz w:val="26"/>
            <w:szCs w:val="26"/>
            <w:u w:val="none"/>
          </w:rPr>
          <w:t>подпункта 2 пункта 3.1</w:t>
        </w:r>
      </w:hyperlink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настоящего Положения</w:t>
      </w: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абзацем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вторым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подпункта 2 пункта 3.1,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подпунктом 4 пункта 3.1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и </w:t>
      </w:r>
      <w:r>
        <w:rPr>
          <w:rStyle w:val="Style8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7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абзацем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пятым </w:t>
      </w:r>
      <w:hyperlink w:anchor="sub_101624">
        <w:r>
          <w:rPr>
            <w:rStyle w:val="Style7"/>
            <w:rFonts w:eastAsia="Calibri"/>
            <w:b w:val="false"/>
            <w:bCs w:val="false"/>
            <w:i w:val="false"/>
            <w:iCs w:val="false"/>
            <w:color w:val="auto"/>
            <w:sz w:val="26"/>
            <w:szCs w:val="26"/>
            <w:u w:val="none"/>
          </w:rPr>
          <w:t>подпункта 2 пункта 3.1</w:t>
        </w:r>
      </w:hyperlink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Style w:val="Style8"/>
          <w:rFonts w:eastAsia="Calibri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настоящего Положения</w:t>
      </w: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,  а также рекомендации для принятия одного из решений в соответствии с </w:t>
      </w:r>
      <w:r>
        <w:rPr>
          <w:rStyle w:val="Style8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пунктами 3.17</w:t>
      </w: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, </w:t>
      </w:r>
      <w:r>
        <w:rPr>
          <w:rStyle w:val="Style8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3.20</w:t>
      </w: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, </w:t>
      </w:r>
      <w:r>
        <w:rPr>
          <w:rStyle w:val="Style8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3.22</w:t>
      </w:r>
      <w:r>
        <w:rPr>
          <w:rStyle w:val="Style14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 настоящего Положения или иного решения.».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color w:val="auto"/>
          <w:sz w:val="26"/>
          <w:szCs w:val="26"/>
        </w:rPr>
        <w:tab/>
        <w:t>2. Начальнику отдела кадровой работы и государственной службы Департамента социальной политики Чукотского</w:t>
      </w:r>
      <w:r>
        <w:rPr>
          <w:sz w:val="26"/>
          <w:szCs w:val="26"/>
        </w:rPr>
        <w:t xml:space="preserve"> автономного округа (Коновалова Т.Г.) ознакомить с настоящим приказом служащих замещающих должности государственной гражданской службы, включенные в Перечень должностей государственной гражданской службы Департамента </w:t>
      </w:r>
      <w:r>
        <w:rPr>
          <w:bCs/>
          <w:sz w:val="26"/>
          <w:szCs w:val="26"/>
        </w:rPr>
        <w:t xml:space="preserve">социальной политики Чукотского автономного округа, </w:t>
      </w:r>
      <w:r>
        <w:rPr>
          <w:sz w:val="26"/>
          <w:szCs w:val="26"/>
        </w:rPr>
        <w:t xml:space="preserve">исполнение должностных обязанностей по которым связано с коррупционными рисками.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приказа возложить на отдел кадровой работы и государственной службы Департамента социальной политики Чукотского автономного округа (Коновалова Т.Г.).</w:t>
      </w:r>
    </w:p>
    <w:p>
      <w:pPr>
        <w:pStyle w:val="Normal"/>
        <w:tabs>
          <w:tab w:val="left" w:pos="588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9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7"/>
        <w:gridCol w:w="4997"/>
      </w:tblGrid>
      <w:tr>
        <w:trPr/>
        <w:tc>
          <w:tcPr>
            <w:tcW w:w="4997" w:type="dxa"/>
            <w:tcBorders/>
            <w:shd w:color="auto" w:fill="auto" w:val="clear"/>
          </w:tcPr>
          <w:p>
            <w:pPr>
              <w:pStyle w:val="Normal"/>
              <w:tabs>
                <w:tab w:val="left" w:pos="851" w:leader="none"/>
              </w:tabs>
              <w:spacing w:before="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Подписано электронной подписью</w:t>
            </w:r>
          </w:p>
        </w:tc>
        <w:tc>
          <w:tcPr>
            <w:tcW w:w="4997" w:type="dxa"/>
            <w:tcBorders/>
            <w:shd w:color="auto" w:fill="auto" w:val="clear"/>
          </w:tcPr>
          <w:p>
            <w:pPr>
              <w:pStyle w:val="Normal"/>
              <w:tabs>
                <w:tab w:val="left" w:pos="851" w:leader="none"/>
              </w:tabs>
              <w:spacing w:before="0" w:after="120"/>
              <w:jc w:val="right"/>
              <w:rPr>
                <w:sz w:val="26"/>
                <w:szCs w:val="26"/>
              </w:rPr>
            </w:pPr>
            <w:bookmarkStart w:id="2" w:name="sub_1"/>
            <w:bookmarkStart w:id="3" w:name="sub_1"/>
            <w:bookmarkEnd w:id="3"/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0" w:after="120"/>
        <w:ind w:firstLine="520"/>
        <w:outlineLvl w:val="2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semiHidden/>
    <w:qFormat/>
    <w:rPr/>
  </w:style>
  <w:style w:type="character" w:styleId="Style7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link w:val="af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link w:val="af7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f9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Style14">
    <w:name w:val="Сравнение редакций. Добавленный фрагмент"/>
    <w:qFormat/>
    <w:rPr>
      <w:color w:val="000000"/>
      <w:highlight w:val="blue"/>
    </w:rPr>
  </w:style>
  <w:style w:type="paragraph" w:styleId="Style15" w:customStyle="1">
    <w:name w:val="Заголовок"/>
    <w:basedOn w:val="Normal"/>
    <w:next w:val="Style16"/>
    <w:qFormat/>
    <w:rsid w:val="004862ab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f0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6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Style28">
    <w:name w:val="Footer"/>
    <w:basedOn w:val="Normal"/>
    <w:link w:val="af8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1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a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link w:val="33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B0BF-35DA-4769-B837-78F3E8EC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LibreOffice/5.4.0.3$Windows_x86 LibreOffice_project/7556cbc6811c9d992f4064ab9287069087d7f62c</Application>
  <Pages>2</Pages>
  <Words>334</Words>
  <Characters>2314</Characters>
  <CharactersWithSpaces>2645</CharactersWithSpaces>
  <Paragraphs>21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2018-02-15T09:38:56Z</cp:lastPrinted>
  <dcterms:modified xsi:type="dcterms:W3CDTF">2018-02-15T09:39:05Z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