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71" w:rsidRDefault="007D1AD8">
      <w:pPr>
        <w:jc w:val="center"/>
      </w:pPr>
      <w:r>
        <w:rPr>
          <w:noProof/>
        </w:rPr>
        <w:drawing>
          <wp:inline distT="0" distB="0" distL="0" distR="0" wp14:anchorId="3A81A8D6" wp14:editId="1B36FDB3">
            <wp:extent cx="732408" cy="98844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2408" cy="9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71" w:rsidRDefault="003F3471">
      <w:pPr>
        <w:pStyle w:val="ad"/>
        <w:rPr>
          <w:sz w:val="20"/>
        </w:rPr>
      </w:pPr>
    </w:p>
    <w:p w:rsidR="003F3471" w:rsidRDefault="007D1AD8">
      <w:pPr>
        <w:pStyle w:val="ad"/>
      </w:pPr>
      <w:r>
        <w:t>ПРАВИТЕЛЬСТВО ЧУКОТСКОГО АВТОНОМНОГО ОКРУГА</w:t>
      </w:r>
    </w:p>
    <w:p w:rsidR="003F3471" w:rsidRDefault="003F3471">
      <w:pPr>
        <w:jc w:val="center"/>
        <w:rPr>
          <w:sz w:val="20"/>
        </w:rPr>
      </w:pPr>
    </w:p>
    <w:p w:rsidR="003F3471" w:rsidRDefault="007D1AD8">
      <w:pPr>
        <w:pStyle w:val="10"/>
        <w:rPr>
          <w:spacing w:val="60"/>
          <w:sz w:val="32"/>
        </w:rPr>
      </w:pPr>
      <w:r>
        <w:rPr>
          <w:spacing w:val="60"/>
          <w:sz w:val="32"/>
        </w:rPr>
        <w:t>ПОСТАНОВЛЕНИЕ</w:t>
      </w:r>
    </w:p>
    <w:p w:rsidR="003F3471" w:rsidRDefault="003F3471">
      <w:pPr>
        <w:rPr>
          <w:sz w:val="20"/>
        </w:rPr>
      </w:pPr>
    </w:p>
    <w:p w:rsidR="00AC4D58" w:rsidRDefault="00AC4D58">
      <w:pPr>
        <w:rPr>
          <w:sz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1"/>
        <w:gridCol w:w="2975"/>
        <w:gridCol w:w="993"/>
        <w:gridCol w:w="1275"/>
        <w:gridCol w:w="3832"/>
      </w:tblGrid>
      <w:tr w:rsidR="00AC4D58" w:rsidRPr="005F02B8" w:rsidTr="00AC4D58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AC4D58" w:rsidRPr="005F02B8" w:rsidRDefault="00AC4D58" w:rsidP="009C5AFF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C4D58" w:rsidRPr="005F02B8" w:rsidRDefault="00AC4D58" w:rsidP="009C5AF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2025 года</w:t>
            </w:r>
          </w:p>
        </w:tc>
        <w:tc>
          <w:tcPr>
            <w:tcW w:w="993" w:type="dxa"/>
          </w:tcPr>
          <w:p w:rsidR="00AC4D58" w:rsidRPr="005F02B8" w:rsidRDefault="00AC4D58" w:rsidP="009C5AFF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4D58" w:rsidRPr="005F02B8" w:rsidRDefault="00AC4D58" w:rsidP="009C5AF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3832" w:type="dxa"/>
          </w:tcPr>
          <w:p w:rsidR="00AC4D58" w:rsidRPr="005F02B8" w:rsidRDefault="00AC4D58" w:rsidP="009C5AFF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3F3471" w:rsidRDefault="003F3471">
      <w:pPr>
        <w:jc w:val="both"/>
      </w:pPr>
    </w:p>
    <w:p w:rsidR="003F3471" w:rsidRDefault="003F3471">
      <w:pPr>
        <w:jc w:val="both"/>
      </w:pPr>
    </w:p>
    <w:p w:rsidR="003F3471" w:rsidRDefault="007D1AD8">
      <w:pPr>
        <w:jc w:val="center"/>
        <w:rPr>
          <w:b/>
        </w:rPr>
      </w:pPr>
      <w:r>
        <w:rPr>
          <w:b/>
        </w:rPr>
        <w:t>Об утверждении Правил предоставления и распределения в 202</w:t>
      </w:r>
      <w:r w:rsidR="000B29F7">
        <w:rPr>
          <w:b/>
        </w:rPr>
        <w:t>5</w:t>
      </w:r>
      <w:r>
        <w:rPr>
          <w:b/>
        </w:rPr>
        <w:t xml:space="preserve"> году иных межбюджетных трансфертов бюджетам муниципальных образований Чукотского автономного округа в целях поощрения муниципальных управленческих команд</w:t>
      </w:r>
    </w:p>
    <w:p w:rsidR="003F3471" w:rsidRDefault="003F3471">
      <w:pPr>
        <w:jc w:val="both"/>
      </w:pPr>
    </w:p>
    <w:p w:rsidR="003F3471" w:rsidRDefault="003F3471">
      <w:pPr>
        <w:jc w:val="both"/>
      </w:pPr>
    </w:p>
    <w:p w:rsidR="003F3471" w:rsidRDefault="007D1AD8">
      <w:pPr>
        <w:ind w:firstLine="709"/>
        <w:jc w:val="both"/>
      </w:pPr>
      <w:r w:rsidRPr="00F063EA">
        <w:rPr>
          <w:color w:val="000000" w:themeColor="text1"/>
        </w:rPr>
        <w:t xml:space="preserve">В соответствии со статьёй 139.1 Бюджетного кодекса Российской Федерации, Постановлением Правительства Российской Федерации </w:t>
      </w:r>
      <w:r w:rsidR="00F32F89">
        <w:rPr>
          <w:color w:val="000000" w:themeColor="text1"/>
        </w:rPr>
        <w:t xml:space="preserve">                         </w:t>
      </w:r>
      <w:r w:rsidRPr="00F063EA">
        <w:rPr>
          <w:color w:val="000000" w:themeColor="text1"/>
        </w:rPr>
        <w:t xml:space="preserve">от </w:t>
      </w:r>
      <w:r w:rsidR="00F063EA" w:rsidRPr="00F063EA">
        <w:rPr>
          <w:color w:val="000000" w:themeColor="text1"/>
        </w:rPr>
        <w:t>27</w:t>
      </w:r>
      <w:r w:rsidRPr="00F063EA">
        <w:rPr>
          <w:color w:val="000000" w:themeColor="text1"/>
        </w:rPr>
        <w:t xml:space="preserve"> июня 202</w:t>
      </w:r>
      <w:r w:rsidR="000B29F7" w:rsidRPr="00F063EA">
        <w:rPr>
          <w:color w:val="000000" w:themeColor="text1"/>
        </w:rPr>
        <w:t>5</w:t>
      </w:r>
      <w:r w:rsidRPr="00F063EA">
        <w:rPr>
          <w:color w:val="000000" w:themeColor="text1"/>
        </w:rPr>
        <w:t xml:space="preserve"> года № </w:t>
      </w:r>
      <w:r w:rsidR="00F063EA" w:rsidRPr="00F063EA">
        <w:rPr>
          <w:color w:val="000000" w:themeColor="text1"/>
        </w:rPr>
        <w:t>968</w:t>
      </w:r>
      <w:r w:rsidRPr="00F063EA">
        <w:rPr>
          <w:color w:val="000000" w:themeColor="text1"/>
        </w:rPr>
        <w:t xml:space="preserve"> «</w:t>
      </w:r>
      <w:r w:rsidR="00F063EA" w:rsidRPr="00F063EA">
        <w:rPr>
          <w:color w:val="000000" w:themeColor="text1"/>
        </w:rPr>
        <w:t xml:space="preserve">Об утверждении Правил предоставления </w:t>
      </w:r>
      <w:r w:rsidR="00F32F89">
        <w:rPr>
          <w:color w:val="000000" w:themeColor="text1"/>
        </w:rPr>
        <w:t xml:space="preserve">                          </w:t>
      </w:r>
      <w:r w:rsidR="00F063EA" w:rsidRPr="00F063EA">
        <w:rPr>
          <w:color w:val="000000" w:themeColor="text1"/>
        </w:rPr>
        <w:t>и распределения в 2025 году межбюджетных трансфертов в форме дотаций (грантов) бюджетам субъектов Российской Федерации за достижение показателей деятельности исполнительных органов субъектов Российской Федерации</w:t>
      </w:r>
      <w:r w:rsidRPr="00F063EA">
        <w:rPr>
          <w:color w:val="000000" w:themeColor="text1"/>
        </w:rPr>
        <w:t xml:space="preserve">» и Распоряжением Правительства Российской Федерации </w:t>
      </w:r>
      <w:r w:rsidR="00F32F89">
        <w:rPr>
          <w:color w:val="000000" w:themeColor="text1"/>
        </w:rPr>
        <w:t xml:space="preserve">                  </w:t>
      </w:r>
      <w:r w:rsidRPr="00F063EA">
        <w:rPr>
          <w:color w:val="000000" w:themeColor="text1"/>
        </w:rPr>
        <w:t xml:space="preserve">от </w:t>
      </w:r>
      <w:r w:rsidR="00F063EA" w:rsidRPr="00F063EA">
        <w:rPr>
          <w:color w:val="000000" w:themeColor="text1"/>
        </w:rPr>
        <w:t xml:space="preserve">27 </w:t>
      </w:r>
      <w:r w:rsidRPr="00F063EA">
        <w:rPr>
          <w:color w:val="000000" w:themeColor="text1"/>
        </w:rPr>
        <w:t>июня 202</w:t>
      </w:r>
      <w:r w:rsidR="000B29F7" w:rsidRPr="00F063EA">
        <w:rPr>
          <w:color w:val="000000" w:themeColor="text1"/>
        </w:rPr>
        <w:t>5</w:t>
      </w:r>
      <w:r w:rsidRPr="00F063EA">
        <w:t xml:space="preserve"> года № </w:t>
      </w:r>
      <w:r w:rsidR="00F063EA" w:rsidRPr="00F063EA">
        <w:t>1695</w:t>
      </w:r>
      <w:r w:rsidRPr="00F063EA">
        <w:t>-р, Правительство Чукотского автономного округа</w:t>
      </w:r>
    </w:p>
    <w:p w:rsidR="003F3471" w:rsidRDefault="003F3471">
      <w:pPr>
        <w:jc w:val="both"/>
      </w:pPr>
    </w:p>
    <w:p w:rsidR="003F3471" w:rsidRDefault="007D1AD8">
      <w:pPr>
        <w:jc w:val="both"/>
      </w:pPr>
      <w:r>
        <w:rPr>
          <w:b/>
          <w:spacing w:val="60"/>
        </w:rPr>
        <w:t>ПОСТАНОВЛЯЕТ</w:t>
      </w:r>
      <w:r>
        <w:rPr>
          <w:b/>
        </w:rPr>
        <w:t>:</w:t>
      </w:r>
    </w:p>
    <w:p w:rsidR="003F3471" w:rsidRDefault="003F3471">
      <w:pPr>
        <w:pStyle w:val="25"/>
        <w:rPr>
          <w:color w:val="000000"/>
          <w:sz w:val="28"/>
        </w:rPr>
      </w:pPr>
    </w:p>
    <w:p w:rsidR="00F32F89" w:rsidRDefault="007D1AD8">
      <w:pPr>
        <w:pStyle w:val="25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F32F8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Утвердить Правила предоставления и распределения в 202</w:t>
      </w:r>
      <w:r w:rsidR="000B29F7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году иных межбюджетных трансфертов бюджетам муниципальных образований Чукотского автономного округа в целях поощрения муниципальных управленческих команд согласно </w:t>
      </w:r>
      <w:proofErr w:type="gramStart"/>
      <w:r>
        <w:rPr>
          <w:color w:val="000000"/>
          <w:sz w:val="28"/>
        </w:rPr>
        <w:t>приложению</w:t>
      </w:r>
      <w:proofErr w:type="gramEnd"/>
      <w:r>
        <w:rPr>
          <w:color w:val="000000"/>
          <w:sz w:val="28"/>
        </w:rPr>
        <w:t xml:space="preserve"> к настоящему постановлению.</w:t>
      </w:r>
    </w:p>
    <w:p w:rsidR="003F3471" w:rsidRDefault="007D1AD8">
      <w:pPr>
        <w:pStyle w:val="25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F32F8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F32F89"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>на Аппарат Губернатора и Правительства Чукотского автономного округа (Каргаполов П.А).</w:t>
      </w:r>
    </w:p>
    <w:p w:rsidR="003F3471" w:rsidRDefault="003F3471">
      <w:pPr>
        <w:pStyle w:val="25"/>
        <w:rPr>
          <w:color w:val="000000"/>
          <w:sz w:val="28"/>
        </w:rPr>
      </w:pPr>
    </w:p>
    <w:p w:rsidR="003F3471" w:rsidRDefault="003F3471">
      <w:pPr>
        <w:pStyle w:val="25"/>
        <w:rPr>
          <w:color w:val="000000"/>
          <w:sz w:val="28"/>
        </w:rPr>
      </w:pPr>
    </w:p>
    <w:p w:rsidR="003F3471" w:rsidRDefault="003F3471">
      <w:pPr>
        <w:pStyle w:val="25"/>
        <w:rPr>
          <w:color w:val="000000"/>
          <w:sz w:val="28"/>
        </w:rPr>
      </w:pPr>
    </w:p>
    <w:p w:rsidR="00F32F89" w:rsidRDefault="00F32F89">
      <w:pPr>
        <w:pStyle w:val="25"/>
        <w:ind w:firstLine="0"/>
        <w:rPr>
          <w:color w:val="000000"/>
          <w:sz w:val="28"/>
        </w:rPr>
      </w:pPr>
      <w:r>
        <w:rPr>
          <w:color w:val="000000"/>
          <w:sz w:val="28"/>
        </w:rPr>
        <w:t>Губернатор</w:t>
      </w:r>
    </w:p>
    <w:p w:rsidR="003F3471" w:rsidRDefault="00F32F89">
      <w:pPr>
        <w:pStyle w:val="25"/>
        <w:ind w:firstLine="0"/>
        <w:rPr>
          <w:color w:val="000000"/>
          <w:sz w:val="28"/>
        </w:rPr>
      </w:pPr>
      <w:r>
        <w:rPr>
          <w:color w:val="000000"/>
          <w:sz w:val="28"/>
        </w:rPr>
        <w:t>Чукотского автономного округа</w:t>
      </w:r>
      <w:r w:rsidR="007D1AD8">
        <w:rPr>
          <w:color w:val="000000"/>
          <w:sz w:val="28"/>
        </w:rPr>
        <w:t xml:space="preserve">                                                     </w:t>
      </w:r>
      <w:r>
        <w:rPr>
          <w:color w:val="000000"/>
          <w:sz w:val="28"/>
        </w:rPr>
        <w:t xml:space="preserve"> </w:t>
      </w:r>
      <w:r w:rsidR="007D1AD8">
        <w:rPr>
          <w:color w:val="000000"/>
          <w:sz w:val="28"/>
        </w:rPr>
        <w:t>В.Г. Кузнецов</w:t>
      </w:r>
    </w:p>
    <w:p w:rsidR="003F3471" w:rsidRDefault="003F3471">
      <w:pPr>
        <w:sectPr w:rsidR="003F3471" w:rsidSect="00AC4D58">
          <w:headerReference w:type="default" r:id="rId8"/>
          <w:pgSz w:w="11906" w:h="16838"/>
          <w:pgMar w:top="624" w:right="851" w:bottom="1134" w:left="1701" w:header="397" w:footer="397" w:gutter="0"/>
          <w:cols w:space="720"/>
          <w:titlePg/>
        </w:sectPr>
      </w:pPr>
    </w:p>
    <w:p w:rsidR="003F3471" w:rsidRPr="00AC4D58" w:rsidRDefault="007D1AD8" w:rsidP="00F32F89">
      <w:pPr>
        <w:ind w:left="5103"/>
        <w:jc w:val="center"/>
        <w:rPr>
          <w:sz w:val="24"/>
          <w:szCs w:val="24"/>
        </w:rPr>
      </w:pPr>
      <w:r w:rsidRPr="00AC4D58">
        <w:rPr>
          <w:sz w:val="24"/>
          <w:szCs w:val="24"/>
        </w:rPr>
        <w:t>Приложение</w:t>
      </w:r>
    </w:p>
    <w:p w:rsidR="003F3471" w:rsidRPr="00AC4D58" w:rsidRDefault="007D1AD8" w:rsidP="00F32F89">
      <w:pPr>
        <w:ind w:left="5103"/>
        <w:jc w:val="center"/>
        <w:rPr>
          <w:sz w:val="24"/>
          <w:szCs w:val="24"/>
        </w:rPr>
      </w:pPr>
      <w:r w:rsidRPr="00AC4D58">
        <w:rPr>
          <w:sz w:val="24"/>
          <w:szCs w:val="24"/>
        </w:rPr>
        <w:t>к Постановлению Правительства</w:t>
      </w:r>
    </w:p>
    <w:p w:rsidR="003F3471" w:rsidRPr="00AC4D58" w:rsidRDefault="007D1AD8" w:rsidP="00F32F89">
      <w:pPr>
        <w:ind w:left="5103"/>
        <w:jc w:val="center"/>
        <w:rPr>
          <w:sz w:val="24"/>
          <w:szCs w:val="24"/>
        </w:rPr>
      </w:pPr>
      <w:r w:rsidRPr="00AC4D58">
        <w:rPr>
          <w:sz w:val="24"/>
          <w:szCs w:val="24"/>
        </w:rPr>
        <w:t>Чукотского автономного округа</w:t>
      </w:r>
    </w:p>
    <w:p w:rsidR="003F3471" w:rsidRPr="00AC4D58" w:rsidRDefault="00AC4D58" w:rsidP="00F32F89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от 11 сентября</w:t>
      </w:r>
      <w:r w:rsidR="007D1AD8" w:rsidRPr="00AC4D58">
        <w:rPr>
          <w:sz w:val="24"/>
          <w:szCs w:val="24"/>
        </w:rPr>
        <w:t xml:space="preserve"> 202</w:t>
      </w:r>
      <w:r w:rsidR="000B29F7" w:rsidRPr="00AC4D58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525</w:t>
      </w:r>
    </w:p>
    <w:p w:rsidR="003F3471" w:rsidRDefault="003F3471">
      <w:pPr>
        <w:jc w:val="center"/>
      </w:pPr>
    </w:p>
    <w:p w:rsidR="00AC4D58" w:rsidRDefault="00AC4D58">
      <w:pPr>
        <w:jc w:val="center"/>
      </w:pPr>
    </w:p>
    <w:p w:rsidR="003F3471" w:rsidRDefault="007D1AD8">
      <w:pPr>
        <w:jc w:val="center"/>
        <w:rPr>
          <w:b/>
        </w:rPr>
      </w:pPr>
      <w:r>
        <w:rPr>
          <w:b/>
        </w:rPr>
        <w:t>Правила</w:t>
      </w:r>
    </w:p>
    <w:p w:rsidR="003F3471" w:rsidRDefault="007D1AD8">
      <w:pPr>
        <w:jc w:val="center"/>
        <w:rPr>
          <w:b/>
        </w:rPr>
      </w:pPr>
      <w:r>
        <w:rPr>
          <w:b/>
        </w:rPr>
        <w:t>предоставления и распределения в 202</w:t>
      </w:r>
      <w:r w:rsidR="000B29F7">
        <w:rPr>
          <w:b/>
        </w:rPr>
        <w:t>5</w:t>
      </w:r>
      <w:r>
        <w:rPr>
          <w:b/>
        </w:rPr>
        <w:t xml:space="preserve"> году</w:t>
      </w:r>
    </w:p>
    <w:p w:rsidR="003F3471" w:rsidRDefault="007D1AD8">
      <w:pPr>
        <w:jc w:val="center"/>
        <w:rPr>
          <w:b/>
        </w:rPr>
      </w:pPr>
      <w:r>
        <w:rPr>
          <w:b/>
        </w:rPr>
        <w:t>иных межбюджетных трансфертов бюджетам муниципальных образований Чукотского автономного округа в целях поощрения муниципальных управленческих команд</w:t>
      </w:r>
    </w:p>
    <w:p w:rsidR="003F3471" w:rsidRDefault="003F3471">
      <w:pPr>
        <w:jc w:val="center"/>
      </w:pPr>
    </w:p>
    <w:p w:rsidR="00F32F89" w:rsidRDefault="00F32F89" w:rsidP="00F32F89">
      <w:pPr>
        <w:tabs>
          <w:tab w:val="left" w:pos="1276"/>
        </w:tabs>
        <w:ind w:firstLine="709"/>
        <w:jc w:val="both"/>
        <w:rPr>
          <w:color w:val="auto"/>
        </w:rPr>
      </w:pPr>
      <w:r>
        <w:t xml:space="preserve">1. </w:t>
      </w:r>
      <w:r w:rsidR="007D1AD8">
        <w:t xml:space="preserve">Настоящие Правила регламентируют порядок предоставления </w:t>
      </w:r>
      <w:r>
        <w:t xml:space="preserve">                    </w:t>
      </w:r>
      <w:r w:rsidR="007D1AD8">
        <w:t>и распределения в 202</w:t>
      </w:r>
      <w:r w:rsidR="000B29F7">
        <w:t>5</w:t>
      </w:r>
      <w:r w:rsidR="007D1AD8">
        <w:t xml:space="preserve"> году из окружного бюджета иных межбюджетных трансфертов бюджетам муниципальных образований Чукотского </w:t>
      </w:r>
      <w:r w:rsidR="007D1AD8" w:rsidRPr="00915817">
        <w:rPr>
          <w:color w:val="auto"/>
        </w:rPr>
        <w:t xml:space="preserve">автономного округа в целях поощрения муниципальных управленческих команд за содействие достижению Чукотским автономным округом показателей оценки эффективности деятельности Губернатора Чукотского автономного округа и деятельности исполнительных органов Чукотского автономного округа в соответствии с </w:t>
      </w:r>
      <w:r w:rsidR="00F063EA" w:rsidRPr="00915817">
        <w:rPr>
          <w:color w:val="auto"/>
        </w:rPr>
        <w:t>Постановлением Правительства Российской Федерации от 27 июня 2025 года № 968 «Об утверждении Правил предоставления и распределения в 2025 году межбюджетных трансфертов в форме дотаций (грантов) бюджетам субъектов Российской Федерации за достижение показателей деятельности исполнительных органов субъектов Российской Федерации»</w:t>
      </w:r>
      <w:r w:rsidR="006A2162" w:rsidRPr="00915817">
        <w:rPr>
          <w:color w:val="auto"/>
        </w:rPr>
        <w:t xml:space="preserve"> и</w:t>
      </w:r>
      <w:r w:rsidR="00890B1A" w:rsidRPr="00915817">
        <w:rPr>
          <w:color w:val="auto"/>
        </w:rPr>
        <w:t xml:space="preserve"> выполнение органами местного самоуправления отдельных поручений и указаний Президента Российской Федерации</w:t>
      </w:r>
      <w:r w:rsidR="00F063EA" w:rsidRPr="00915817">
        <w:rPr>
          <w:color w:val="auto"/>
        </w:rPr>
        <w:t xml:space="preserve"> </w:t>
      </w:r>
      <w:r w:rsidR="007D1AD8" w:rsidRPr="00915817">
        <w:rPr>
          <w:color w:val="auto"/>
        </w:rPr>
        <w:t xml:space="preserve">(далее </w:t>
      </w:r>
      <w:r w:rsidR="006A2162" w:rsidRPr="00915817">
        <w:rPr>
          <w:color w:val="auto"/>
        </w:rPr>
        <w:t xml:space="preserve">соответственно </w:t>
      </w:r>
      <w:r w:rsidR="007D1AD8" w:rsidRPr="00915817">
        <w:rPr>
          <w:color w:val="auto"/>
        </w:rPr>
        <w:t xml:space="preserve">– </w:t>
      </w:r>
      <w:r w:rsidR="006A2162" w:rsidRPr="00915817">
        <w:rPr>
          <w:color w:val="auto"/>
        </w:rPr>
        <w:t xml:space="preserve">показатели, </w:t>
      </w:r>
      <w:r w:rsidR="007D1AD8" w:rsidRPr="00915817">
        <w:rPr>
          <w:color w:val="auto"/>
        </w:rPr>
        <w:t>иные межбюджетные трансферты).</w:t>
      </w:r>
    </w:p>
    <w:p w:rsidR="003F3471" w:rsidRPr="00915817" w:rsidRDefault="00F32F89" w:rsidP="00F32F89">
      <w:pPr>
        <w:tabs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7D1AD8" w:rsidRPr="00915817">
        <w:rPr>
          <w:color w:val="auto"/>
        </w:rPr>
        <w:t xml:space="preserve">Под муниципальной управленческой командой понимается группа лиц, замещающих муниципальные должности, должности муниципальной службы Чукотского автономного округа, работников органов местного самоуправления Чукотского автономного округа, не являющихся муниципальными служащими, деятельность которых в соответствии </w:t>
      </w:r>
      <w:r>
        <w:rPr>
          <w:color w:val="auto"/>
        </w:rPr>
        <w:t xml:space="preserve">                         </w:t>
      </w:r>
      <w:r w:rsidR="007D1AD8" w:rsidRPr="00915817">
        <w:rPr>
          <w:color w:val="auto"/>
        </w:rPr>
        <w:t>с решением Губернатора Чукотского автономного округа способствовала достижению в 202</w:t>
      </w:r>
      <w:r w:rsidR="00D46949" w:rsidRPr="00915817">
        <w:rPr>
          <w:color w:val="auto"/>
        </w:rPr>
        <w:t>4</w:t>
      </w:r>
      <w:r w:rsidR="007D1AD8" w:rsidRPr="00915817">
        <w:rPr>
          <w:color w:val="auto"/>
        </w:rPr>
        <w:t xml:space="preserve"> году Чукотским автономным округом </w:t>
      </w:r>
      <w:r w:rsidR="0087249E" w:rsidRPr="00915817">
        <w:rPr>
          <w:color w:val="auto"/>
        </w:rPr>
        <w:t>значений</w:t>
      </w:r>
      <w:r w:rsidR="00741D5F" w:rsidRPr="00915817">
        <w:rPr>
          <w:color w:val="auto"/>
        </w:rPr>
        <w:t xml:space="preserve"> (уровней)</w:t>
      </w:r>
      <w:r w:rsidR="0087249E" w:rsidRPr="00915817">
        <w:rPr>
          <w:color w:val="auto"/>
        </w:rPr>
        <w:t xml:space="preserve"> </w:t>
      </w:r>
      <w:r w:rsidR="00B81BFD" w:rsidRPr="00915817">
        <w:rPr>
          <w:color w:val="auto"/>
        </w:rPr>
        <w:t>показателей</w:t>
      </w:r>
      <w:r w:rsidR="007D1AD8" w:rsidRPr="00915817">
        <w:rPr>
          <w:color w:val="auto"/>
        </w:rPr>
        <w:t>.</w:t>
      </w:r>
    </w:p>
    <w:p w:rsidR="00F32F89" w:rsidRDefault="007D1AD8" w:rsidP="00F32F89">
      <w:pPr>
        <w:tabs>
          <w:tab w:val="left" w:pos="1276"/>
        </w:tabs>
        <w:ind w:firstLine="709"/>
        <w:jc w:val="both"/>
        <w:rPr>
          <w:color w:val="auto"/>
        </w:rPr>
      </w:pPr>
      <w:r w:rsidRPr="00915817">
        <w:rPr>
          <w:color w:val="auto"/>
        </w:rPr>
        <w:t xml:space="preserve">К муниципальной управленческой команде в соответствии с решением Губернатора Чукотского автономного округа могут быть отнесены </w:t>
      </w:r>
      <w:r w:rsidR="00915817">
        <w:rPr>
          <w:color w:val="auto"/>
        </w:rPr>
        <w:t>работники</w:t>
      </w:r>
      <w:r w:rsidRPr="00915817">
        <w:rPr>
          <w:color w:val="auto"/>
        </w:rPr>
        <w:t xml:space="preserve"> муниципальных учреждений и предприятий, некоммерческих организаций, включая специалистов в области информационных технологий, обеспечивающи</w:t>
      </w:r>
      <w:r w:rsidR="00287C52">
        <w:rPr>
          <w:color w:val="auto"/>
        </w:rPr>
        <w:t xml:space="preserve">х </w:t>
      </w:r>
      <w:r w:rsidRPr="00915817">
        <w:rPr>
          <w:color w:val="auto"/>
        </w:rPr>
        <w:t>функционирование муниципальных информационных систем, деятельность которых, в соответствии с решением Губернатора Чукотского автономного</w:t>
      </w:r>
      <w:r w:rsidR="00287C52">
        <w:rPr>
          <w:color w:val="auto"/>
        </w:rPr>
        <w:t xml:space="preserve"> </w:t>
      </w:r>
      <w:r w:rsidRPr="00915817">
        <w:rPr>
          <w:color w:val="auto"/>
        </w:rPr>
        <w:t>округа способствовала достижению в 202</w:t>
      </w:r>
      <w:r w:rsidR="000B29F7" w:rsidRPr="00915817">
        <w:rPr>
          <w:color w:val="auto"/>
        </w:rPr>
        <w:t>4</w:t>
      </w:r>
      <w:r w:rsidRPr="00915817">
        <w:rPr>
          <w:color w:val="auto"/>
        </w:rPr>
        <w:t xml:space="preserve"> году Чукотским автономным округом значений </w:t>
      </w:r>
      <w:r w:rsidR="00741D5F" w:rsidRPr="00915817">
        <w:rPr>
          <w:color w:val="auto"/>
        </w:rPr>
        <w:t xml:space="preserve">(уровней) </w:t>
      </w:r>
      <w:r w:rsidRPr="00915817">
        <w:rPr>
          <w:color w:val="auto"/>
        </w:rPr>
        <w:t>показателей</w:t>
      </w:r>
      <w:r w:rsidR="00741D5F" w:rsidRPr="00915817">
        <w:rPr>
          <w:color w:val="auto"/>
        </w:rPr>
        <w:t>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>
        <w:rPr>
          <w:color w:val="auto"/>
        </w:rPr>
        <w:t xml:space="preserve">3. </w:t>
      </w:r>
      <w:r w:rsidR="007D1AD8">
        <w:t>Иные межбюджетные трансферты предоставляются из окружного бюджета на безвозмездной и безвозвратной основе бюджетам муниципальных районов и городск</w:t>
      </w:r>
      <w:r w:rsidR="00915817">
        <w:t>ого</w:t>
      </w:r>
      <w:r w:rsidR="00D46949">
        <w:t>, муниципальных</w:t>
      </w:r>
      <w:r w:rsidR="007D1AD8">
        <w:t xml:space="preserve"> округов Чукотского автономного округа (далее – муниципальные образования) в пределах бюджетных ассигнований, предусмотренных на указанные цели сводной бюджетной росписью расходов окружного бюджета на 202</w:t>
      </w:r>
      <w:r w:rsidR="000B29F7">
        <w:t>5</w:t>
      </w:r>
      <w:r w:rsidR="007D1AD8">
        <w:t xml:space="preserve"> год </w:t>
      </w:r>
      <w:r>
        <w:t xml:space="preserve">                                 </w:t>
      </w:r>
      <w:r w:rsidR="007D1AD8">
        <w:t>и на плановый период 202</w:t>
      </w:r>
      <w:r w:rsidR="000B29F7">
        <w:t>6</w:t>
      </w:r>
      <w:r w:rsidR="007D1AD8">
        <w:t xml:space="preserve"> и 202</w:t>
      </w:r>
      <w:r w:rsidR="000B29F7">
        <w:t>7</w:t>
      </w:r>
      <w:r w:rsidR="007D1AD8">
        <w:t xml:space="preserve"> годов, доведенных Аппарату Губернатора и Правительства Чукотского автономного округа (далее – Аппарат) </w:t>
      </w:r>
      <w:r>
        <w:t xml:space="preserve">                       </w:t>
      </w:r>
      <w:r w:rsidR="007D1AD8">
        <w:t>как получателю средств окружного бюджета.</w:t>
      </w:r>
    </w:p>
    <w:p w:rsidR="00F32F89" w:rsidRPr="00873782" w:rsidRDefault="00F32F89" w:rsidP="00F32F89">
      <w:pPr>
        <w:tabs>
          <w:tab w:val="left" w:pos="1276"/>
        </w:tabs>
        <w:ind w:firstLine="709"/>
        <w:jc w:val="both"/>
        <w:rPr>
          <w:color w:val="000000" w:themeColor="text1"/>
        </w:rPr>
      </w:pPr>
      <w:r>
        <w:t xml:space="preserve">4. </w:t>
      </w:r>
      <w:r w:rsidR="007D1AD8">
        <w:t>Финансовое обеспечение расходов на предоставление из окружного бюджета бюджетам муниципальных образований Чукотского автономного округа иных межбюджетных т</w:t>
      </w:r>
      <w:r>
        <w:t>рансфертов обеспечивается за счё</w:t>
      </w:r>
      <w:r w:rsidR="007D1AD8">
        <w:t xml:space="preserve">т межбюджетного трансферта в форме дотации (гранта), предоставленного </w:t>
      </w:r>
      <w:r>
        <w:t xml:space="preserve">                </w:t>
      </w:r>
      <w:r w:rsidR="007D1AD8">
        <w:t>в 202</w:t>
      </w:r>
      <w:r w:rsidR="000B29F7">
        <w:t>5</w:t>
      </w:r>
      <w:r w:rsidR="007D1AD8">
        <w:t xml:space="preserve"> году из федерального бюджета бюджету Чукотского автономного округа за достижение Чукотским автономным округом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915817">
        <w:t xml:space="preserve"> </w:t>
      </w:r>
      <w:r w:rsidR="00915817" w:rsidRPr="0009291D">
        <w:rPr>
          <w:color w:val="auto"/>
        </w:rPr>
        <w:t xml:space="preserve">и за </w:t>
      </w:r>
      <w:r w:rsidR="00915817" w:rsidRPr="00EA66DE">
        <w:rPr>
          <w:color w:val="auto"/>
        </w:rPr>
        <w:t>выполнение отдельных поручений и указаний Прези</w:t>
      </w:r>
      <w:r w:rsidR="00915817" w:rsidRPr="00873782">
        <w:rPr>
          <w:color w:val="000000" w:themeColor="text1"/>
        </w:rPr>
        <w:t>дента Российской Федерации</w:t>
      </w:r>
      <w:r w:rsidR="007D1AD8" w:rsidRPr="00873782">
        <w:rPr>
          <w:color w:val="000000" w:themeColor="text1"/>
        </w:rPr>
        <w:t>.</w:t>
      </w:r>
    </w:p>
    <w:p w:rsidR="00873782" w:rsidRDefault="00F32F89" w:rsidP="00873782">
      <w:pPr>
        <w:tabs>
          <w:tab w:val="left" w:pos="1276"/>
        </w:tabs>
        <w:ind w:firstLine="709"/>
        <w:jc w:val="both"/>
      </w:pPr>
      <w:r w:rsidRPr="00873782">
        <w:rPr>
          <w:color w:val="000000" w:themeColor="text1"/>
        </w:rPr>
        <w:t xml:space="preserve">5. </w:t>
      </w:r>
      <w:r w:rsidR="00873782">
        <w:t>Размер иного межбюджетного трансферта для муниципального образования (</w:t>
      </w:r>
      <w:proofErr w:type="spellStart"/>
      <w:r w:rsidR="00873782">
        <w:t>V</w:t>
      </w:r>
      <w:r w:rsidR="00873782" w:rsidRPr="000C36CF">
        <w:rPr>
          <w:sz w:val="18"/>
          <w:szCs w:val="12"/>
        </w:rPr>
        <w:t>i</w:t>
      </w:r>
      <w:proofErr w:type="spellEnd"/>
      <w:r w:rsidR="00873782" w:rsidRPr="000C36CF">
        <w:t>)</w:t>
      </w:r>
      <w:r w:rsidR="00873782">
        <w:t xml:space="preserve"> определяется по формуле:</w:t>
      </w:r>
    </w:p>
    <w:p w:rsidR="00873782" w:rsidRDefault="00873782" w:rsidP="00873782">
      <w:pPr>
        <w:tabs>
          <w:tab w:val="left" w:pos="1276"/>
        </w:tabs>
        <w:ind w:left="709"/>
        <w:jc w:val="both"/>
      </w:pPr>
    </w:p>
    <w:p w:rsidR="00873782" w:rsidRDefault="00873782" w:rsidP="00873782">
      <w:pPr>
        <w:tabs>
          <w:tab w:val="left" w:pos="1276"/>
        </w:tabs>
        <w:ind w:left="709"/>
        <w:jc w:val="both"/>
      </w:pPr>
      <w:r>
        <w:rPr>
          <w:lang w:val="en-US"/>
        </w:rPr>
        <w:t>V</w:t>
      </w:r>
      <w:r w:rsidRPr="000C36CF">
        <w:rPr>
          <w:sz w:val="18"/>
          <w:szCs w:val="12"/>
          <w:lang w:val="en-US"/>
        </w:rPr>
        <w:t>i</w:t>
      </w:r>
      <w:r w:rsidRPr="000C36CF">
        <w:rPr>
          <w:sz w:val="18"/>
          <w:szCs w:val="12"/>
        </w:rPr>
        <w:t xml:space="preserve"> = </w:t>
      </w:r>
      <w:r>
        <w:rPr>
          <w:lang w:val="en-US"/>
        </w:rPr>
        <w:t>V</w:t>
      </w:r>
      <w:r w:rsidRPr="000C36CF">
        <w:rPr>
          <w:sz w:val="18"/>
          <w:szCs w:val="12"/>
          <w:lang w:val="en-US"/>
        </w:rPr>
        <w:t>i</w:t>
      </w:r>
      <w:proofErr w:type="spellStart"/>
      <w:r w:rsidRPr="000C36CF">
        <w:rPr>
          <w:sz w:val="18"/>
          <w:szCs w:val="12"/>
        </w:rPr>
        <w:t>о</w:t>
      </w:r>
      <w:r>
        <w:rPr>
          <w:sz w:val="18"/>
          <w:szCs w:val="12"/>
        </w:rPr>
        <w:t>сн</w:t>
      </w:r>
      <w:proofErr w:type="spellEnd"/>
      <w:r>
        <w:rPr>
          <w:sz w:val="18"/>
          <w:szCs w:val="12"/>
        </w:rPr>
        <w:t xml:space="preserve"> + </w:t>
      </w:r>
      <w:r w:rsidRPr="000C36CF">
        <w:rPr>
          <w:szCs w:val="28"/>
          <w:lang w:val="en-US"/>
        </w:rPr>
        <w:t>V</w:t>
      </w:r>
      <w:r>
        <w:rPr>
          <w:sz w:val="18"/>
          <w:szCs w:val="12"/>
          <w:lang w:val="en-US"/>
        </w:rPr>
        <w:t>i</w:t>
      </w:r>
      <w:proofErr w:type="spellStart"/>
      <w:r>
        <w:rPr>
          <w:sz w:val="18"/>
          <w:szCs w:val="12"/>
        </w:rPr>
        <w:t>доп</w:t>
      </w:r>
      <w:proofErr w:type="spellEnd"/>
      <w:r w:rsidRPr="000C36CF">
        <w:t>, где</w:t>
      </w:r>
    </w:p>
    <w:p w:rsidR="00873782" w:rsidRPr="000C36CF" w:rsidRDefault="00873782" w:rsidP="00873782">
      <w:pPr>
        <w:tabs>
          <w:tab w:val="left" w:pos="1276"/>
        </w:tabs>
        <w:ind w:left="709"/>
        <w:jc w:val="both"/>
      </w:pPr>
    </w:p>
    <w:p w:rsidR="00873782" w:rsidRDefault="00873782" w:rsidP="00873782">
      <w:pPr>
        <w:tabs>
          <w:tab w:val="left" w:pos="1276"/>
        </w:tabs>
        <w:ind w:firstLine="709"/>
        <w:jc w:val="both"/>
      </w:pPr>
      <w:proofErr w:type="spellStart"/>
      <w:r>
        <w:t>V</w:t>
      </w:r>
      <w:r w:rsidRPr="000C36CF">
        <w:rPr>
          <w:sz w:val="18"/>
          <w:szCs w:val="12"/>
        </w:rPr>
        <w:t>i</w:t>
      </w:r>
      <w:r>
        <w:rPr>
          <w:sz w:val="18"/>
          <w:szCs w:val="12"/>
        </w:rPr>
        <w:t>осн</w:t>
      </w:r>
      <w:proofErr w:type="spellEnd"/>
      <w:r>
        <w:t xml:space="preserve"> – размер иного межбюджетного трансферта для i-</w:t>
      </w:r>
      <w:proofErr w:type="spellStart"/>
      <w:r>
        <w:t>го</w:t>
      </w:r>
      <w:proofErr w:type="spellEnd"/>
      <w:r>
        <w:t xml:space="preserve"> муниципального образования, который рассчитывается по формуле:</w:t>
      </w:r>
    </w:p>
    <w:p w:rsidR="00873782" w:rsidRDefault="00873782" w:rsidP="00873782">
      <w:pPr>
        <w:tabs>
          <w:tab w:val="left" w:pos="1276"/>
        </w:tabs>
        <w:ind w:left="709"/>
        <w:jc w:val="both"/>
      </w:pPr>
      <w:proofErr w:type="spellStart"/>
      <w:r>
        <w:t>V</w:t>
      </w:r>
      <w:r w:rsidRPr="000C36CF">
        <w:rPr>
          <w:sz w:val="18"/>
          <w:szCs w:val="12"/>
        </w:rPr>
        <w:t>iо</w:t>
      </w:r>
      <w:r>
        <w:rPr>
          <w:sz w:val="18"/>
          <w:szCs w:val="12"/>
        </w:rPr>
        <w:t>сн</w:t>
      </w:r>
      <w:proofErr w:type="spellEnd"/>
      <w:r>
        <w:t xml:space="preserve"> = </w:t>
      </w:r>
      <w:proofErr w:type="spellStart"/>
      <w:r>
        <w:t>Ni</w:t>
      </w:r>
      <w:proofErr w:type="spellEnd"/>
      <w:r>
        <w:t>*(</w:t>
      </w:r>
      <w:proofErr w:type="spellStart"/>
      <w:r>
        <w:t>V</w:t>
      </w:r>
      <w:r w:rsidRPr="000C36CF">
        <w:rPr>
          <w:sz w:val="18"/>
          <w:szCs w:val="12"/>
        </w:rPr>
        <w:t>о</w:t>
      </w:r>
      <w:r>
        <w:rPr>
          <w:sz w:val="18"/>
          <w:szCs w:val="12"/>
        </w:rPr>
        <w:t>сн</w:t>
      </w:r>
      <w:proofErr w:type="spellEnd"/>
      <w:r>
        <w:t>/N), где</w:t>
      </w:r>
    </w:p>
    <w:p w:rsidR="00873782" w:rsidRDefault="00873782" w:rsidP="00873782">
      <w:pPr>
        <w:tabs>
          <w:tab w:val="left" w:pos="1276"/>
        </w:tabs>
        <w:ind w:firstLine="709"/>
        <w:jc w:val="both"/>
      </w:pPr>
      <w:proofErr w:type="spellStart"/>
      <w:r>
        <w:t>V</w:t>
      </w:r>
      <w:r w:rsidRPr="000C36CF">
        <w:rPr>
          <w:sz w:val="18"/>
          <w:szCs w:val="12"/>
        </w:rPr>
        <w:t>о</w:t>
      </w:r>
      <w:r>
        <w:rPr>
          <w:sz w:val="18"/>
          <w:szCs w:val="12"/>
        </w:rPr>
        <w:t>сн</w:t>
      </w:r>
      <w:proofErr w:type="spellEnd"/>
      <w:r>
        <w:t xml:space="preserve"> – объем иного межбюджетного трансферта на поощрение муниципальных управленческих команд, принимаемый </w:t>
      </w:r>
      <w:r w:rsidRPr="007C5464">
        <w:t xml:space="preserve">равным </w:t>
      </w:r>
      <w:r w:rsidRPr="00873782">
        <w:rPr>
          <w:color w:val="auto"/>
        </w:rPr>
        <w:t>20 450,9</w:t>
      </w:r>
      <w:r w:rsidRPr="007C5464">
        <w:t xml:space="preserve"> тыс</w:t>
      </w:r>
      <w:r>
        <w:t>. рублей;</w:t>
      </w:r>
    </w:p>
    <w:p w:rsidR="00873782" w:rsidRPr="00717209" w:rsidRDefault="00873782" w:rsidP="00873782">
      <w:pPr>
        <w:tabs>
          <w:tab w:val="left" w:pos="1276"/>
        </w:tabs>
        <w:ind w:firstLine="709"/>
        <w:jc w:val="both"/>
      </w:pPr>
      <w:r w:rsidRPr="00717209">
        <w:t xml:space="preserve">N – общая численность </w:t>
      </w:r>
      <w:r>
        <w:t>муниципальных служащих и работников</w:t>
      </w:r>
      <w:r w:rsidRPr="00717209">
        <w:t xml:space="preserve"> органов местного самоуправления по состоянию на 1 января 2025 года;</w:t>
      </w:r>
    </w:p>
    <w:p w:rsidR="00873782" w:rsidRDefault="00873782" w:rsidP="00873782">
      <w:pPr>
        <w:tabs>
          <w:tab w:val="left" w:pos="1276"/>
        </w:tabs>
        <w:ind w:firstLine="709"/>
        <w:jc w:val="both"/>
      </w:pPr>
      <w:proofErr w:type="spellStart"/>
      <w:r w:rsidRPr="00717209">
        <w:t>Ni</w:t>
      </w:r>
      <w:proofErr w:type="spellEnd"/>
      <w:r w:rsidRPr="00717209">
        <w:t xml:space="preserve"> – численность </w:t>
      </w:r>
      <w:r>
        <w:t>муниципальных служащих и работников</w:t>
      </w:r>
      <w:r w:rsidRPr="00717209">
        <w:t xml:space="preserve"> органов местного самоуправления i-</w:t>
      </w:r>
      <w:proofErr w:type="spellStart"/>
      <w:r w:rsidRPr="00717209">
        <w:t>го</w:t>
      </w:r>
      <w:proofErr w:type="spellEnd"/>
      <w:r w:rsidRPr="00717209">
        <w:t xml:space="preserve"> муниципального образования по состоянию на 1 января 2025 года;</w:t>
      </w:r>
    </w:p>
    <w:p w:rsidR="00873782" w:rsidRPr="00717209" w:rsidRDefault="00873782" w:rsidP="00873782">
      <w:pPr>
        <w:tabs>
          <w:tab w:val="left" w:pos="1276"/>
        </w:tabs>
        <w:ind w:firstLine="709"/>
        <w:jc w:val="both"/>
        <w:rPr>
          <w:b/>
          <w:bCs/>
        </w:rPr>
      </w:pPr>
    </w:p>
    <w:p w:rsidR="00873782" w:rsidRPr="00873782" w:rsidRDefault="00873782" w:rsidP="00873782">
      <w:pPr>
        <w:tabs>
          <w:tab w:val="left" w:pos="1276"/>
        </w:tabs>
        <w:ind w:firstLine="709"/>
        <w:jc w:val="both"/>
      </w:pPr>
      <w:r w:rsidRPr="00873782">
        <w:rPr>
          <w:lang w:val="en-US"/>
        </w:rPr>
        <w:t>V</w:t>
      </w:r>
      <w:r w:rsidRPr="00873782">
        <w:rPr>
          <w:sz w:val="18"/>
          <w:szCs w:val="12"/>
          <w:lang w:val="en-US"/>
        </w:rPr>
        <w:t>i</w:t>
      </w:r>
      <w:proofErr w:type="spellStart"/>
      <w:r w:rsidRPr="00873782">
        <w:rPr>
          <w:sz w:val="18"/>
          <w:szCs w:val="12"/>
        </w:rPr>
        <w:t>доп</w:t>
      </w:r>
      <w:proofErr w:type="spellEnd"/>
      <w:r w:rsidRPr="00873782">
        <w:t xml:space="preserve"> – размер иного межбюджетного трансферта для i-</w:t>
      </w:r>
      <w:proofErr w:type="spellStart"/>
      <w:r w:rsidRPr="00873782">
        <w:t>го</w:t>
      </w:r>
      <w:proofErr w:type="spellEnd"/>
      <w:r w:rsidRPr="00873782">
        <w:t xml:space="preserve"> муниципального образования на поощрение сотрудников, включённых в состав муниципальной управленческой команды i-</w:t>
      </w:r>
      <w:proofErr w:type="spellStart"/>
      <w:r w:rsidRPr="00873782">
        <w:t>го</w:t>
      </w:r>
      <w:proofErr w:type="spellEnd"/>
      <w:r w:rsidRPr="00873782">
        <w:t xml:space="preserve"> муниципального образования в соответствии с распоряжением Губернатора Чукотского автономного округа</w:t>
      </w:r>
      <w:r w:rsidR="00022BD7">
        <w:t>,</w:t>
      </w:r>
      <w:r w:rsidRPr="00873782">
        <w:t xml:space="preserve"> с учётом размеров</w:t>
      </w:r>
      <w:r>
        <w:t xml:space="preserve"> их</w:t>
      </w:r>
      <w:r w:rsidRPr="00873782">
        <w:t xml:space="preserve"> персонального поощрения.</w:t>
      </w:r>
    </w:p>
    <w:p w:rsidR="00F32F89" w:rsidRPr="00873782" w:rsidRDefault="00F32F89" w:rsidP="00F32F89">
      <w:pPr>
        <w:tabs>
          <w:tab w:val="left" w:pos="1276"/>
        </w:tabs>
        <w:ind w:firstLine="709"/>
        <w:jc w:val="both"/>
        <w:rPr>
          <w:color w:val="000000" w:themeColor="text1"/>
        </w:rPr>
      </w:pPr>
      <w:r>
        <w:t xml:space="preserve">6. </w:t>
      </w:r>
      <w:r w:rsidR="007D1AD8">
        <w:t xml:space="preserve">Распределение иных межбюджетных трансфертов утверждается Постановлением Правительства Чукотского автономного </w:t>
      </w:r>
      <w:r w:rsidR="007D1AD8" w:rsidRPr="00873782">
        <w:rPr>
          <w:color w:val="000000" w:themeColor="text1"/>
        </w:rPr>
        <w:t>округа.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 w:rsidRPr="00873782">
        <w:rPr>
          <w:color w:val="000000" w:themeColor="text1"/>
        </w:rPr>
        <w:t xml:space="preserve">7. </w:t>
      </w:r>
      <w:r w:rsidR="007D1AD8" w:rsidRPr="00873782">
        <w:rPr>
          <w:color w:val="000000" w:themeColor="text1"/>
        </w:rPr>
        <w:t>Главы муниципальных районов и городск</w:t>
      </w:r>
      <w:r w:rsidR="001F5984" w:rsidRPr="00873782">
        <w:rPr>
          <w:color w:val="000000" w:themeColor="text1"/>
        </w:rPr>
        <w:t>ого и муниципальных</w:t>
      </w:r>
      <w:r w:rsidR="007D1AD8" w:rsidRPr="00873782">
        <w:rPr>
          <w:color w:val="000000" w:themeColor="text1"/>
        </w:rPr>
        <w:t xml:space="preserve"> округов несут персональную ответственность за целевое расходование </w:t>
      </w:r>
      <w:r w:rsidR="007D1AD8">
        <w:t>средств иного межбюджетного трансферта в соответствии с настоящими Правилами.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>
        <w:t xml:space="preserve">8. </w:t>
      </w:r>
      <w:r w:rsidR="007D1AD8">
        <w:t>Перечисление иных межбюджетных трансфертов в бюджеты муниципальных образований Чукотского автономного округа осуществляется Аппаратом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>
        <w:t xml:space="preserve">9. </w:t>
      </w:r>
      <w:r w:rsidR="007D1AD8">
        <w:t>Не использованный по состоянию на 1 января 202</w:t>
      </w:r>
      <w:r w:rsidR="000B29F7">
        <w:t>6</w:t>
      </w:r>
      <w:r w:rsidR="007D1AD8">
        <w:t xml:space="preserve"> года иной межбюджетный трансферт подлежит возврату в окружной бюджет в течение первых 15 рабочих дней текущего финансового года.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>
        <w:t xml:space="preserve">10. </w:t>
      </w:r>
      <w:r w:rsidR="007D1AD8">
        <w:t>В случае если неиспользованный остаток иного межбюджетного трансферта не перечислен в доход окружного бюджета, указанные средства подлежат взысканию в доход окружного бюджета в порядке, установленном Департаментом финансов и имущественных отношений Чукотского автономного округа.</w:t>
      </w:r>
    </w:p>
    <w:p w:rsidR="00F32F89" w:rsidRDefault="00F32F89" w:rsidP="00F32F89">
      <w:pPr>
        <w:tabs>
          <w:tab w:val="left" w:pos="1276"/>
        </w:tabs>
        <w:ind w:firstLine="709"/>
        <w:jc w:val="both"/>
      </w:pPr>
      <w:r>
        <w:t xml:space="preserve">11. </w:t>
      </w:r>
      <w:r w:rsidR="007D1AD8">
        <w:t>Органы государственного финансового контроля осуществляют контроль за использованием иных межбюджетных трансфертов.</w:t>
      </w:r>
    </w:p>
    <w:p w:rsidR="003F3471" w:rsidRDefault="00F32F89" w:rsidP="00F32F89">
      <w:pPr>
        <w:tabs>
          <w:tab w:val="left" w:pos="1276"/>
        </w:tabs>
        <w:ind w:firstLine="709"/>
        <w:jc w:val="both"/>
      </w:pPr>
      <w:r>
        <w:t xml:space="preserve">12. </w:t>
      </w:r>
      <w:r w:rsidR="007D1AD8">
        <w:t>При несоблюдении органами местного самоуправления муниципальных образований условий, целей и порядка предоставления иных межбюджетных трансфертов принимается решение о применении бюджетной меры принуждения в порядке, установленном Департаментом финансов и имущественных отношений Чукотского автономного округа.</w:t>
      </w:r>
    </w:p>
    <w:p w:rsidR="003F3471" w:rsidRDefault="003F3471">
      <w:pPr>
        <w:sectPr w:rsidR="003F347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567" w:footer="397" w:gutter="0"/>
          <w:cols w:space="720"/>
          <w:titlePg/>
        </w:sectPr>
      </w:pPr>
    </w:p>
    <w:p w:rsidR="00F32F89" w:rsidRDefault="00F32F89" w:rsidP="00192F36">
      <w:pPr>
        <w:jc w:val="center"/>
      </w:pPr>
    </w:p>
    <w:sectPr w:rsidR="00F32F89" w:rsidSect="00192F36">
      <w:headerReference w:type="even" r:id="rId12"/>
      <w:headerReference w:type="default" r:id="rId13"/>
      <w:headerReference w:type="first" r:id="rId14"/>
      <w:pgSz w:w="11906" w:h="1683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0D" w:rsidRDefault="004D220D">
      <w:r>
        <w:separator/>
      </w:r>
    </w:p>
  </w:endnote>
  <w:endnote w:type="continuationSeparator" w:id="0">
    <w:p w:rsidR="004D220D" w:rsidRDefault="004D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0D" w:rsidRDefault="004D220D">
      <w:r>
        <w:separator/>
      </w:r>
    </w:p>
  </w:footnote>
  <w:footnote w:type="continuationSeparator" w:id="0">
    <w:p w:rsidR="004D220D" w:rsidRDefault="004D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7D1AD8">
    <w:pPr>
      <w:pStyle w:val="a3"/>
      <w:jc w:val="center"/>
      <w:rPr>
        <w:rStyle w:val="af1"/>
        <w:sz w:val="24"/>
      </w:rPr>
    </w:pPr>
    <w:r>
      <w:rPr>
        <w:rStyle w:val="af1"/>
        <w:sz w:val="24"/>
      </w:rPr>
      <w:fldChar w:fldCharType="begin"/>
    </w:r>
    <w:r>
      <w:rPr>
        <w:rStyle w:val="af1"/>
        <w:sz w:val="24"/>
      </w:rPr>
      <w:instrText xml:space="preserve">PAGE </w:instrText>
    </w:r>
    <w:r>
      <w:rPr>
        <w:rStyle w:val="af1"/>
        <w:sz w:val="24"/>
      </w:rPr>
      <w:fldChar w:fldCharType="separate"/>
    </w:r>
    <w:r w:rsidR="00906342">
      <w:rPr>
        <w:rStyle w:val="af1"/>
        <w:noProof/>
        <w:sz w:val="24"/>
      </w:rPr>
      <w:t>2</w:t>
    </w:r>
    <w:r>
      <w:rPr>
        <w:rStyle w:val="af1"/>
        <w:sz w:val="24"/>
      </w:rPr>
      <w:fldChar w:fldCharType="end"/>
    </w:r>
  </w:p>
  <w:p w:rsidR="003F3471" w:rsidRDefault="003F34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3F34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3F3471">
    <w:pPr>
      <w:pStyle w:val="a3"/>
      <w:tabs>
        <w:tab w:val="clear" w:pos="4153"/>
        <w:tab w:val="clear" w:pos="8306"/>
        <w:tab w:val="center" w:pos="4677"/>
        <w:tab w:val="right" w:pos="9354"/>
      </w:tabs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Pr="001F5984" w:rsidRDefault="003F3471" w:rsidP="001F598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3F347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7D1AD8">
    <w:pPr>
      <w:pStyle w:val="a3"/>
      <w:tabs>
        <w:tab w:val="clear" w:pos="4153"/>
        <w:tab w:val="clear" w:pos="8306"/>
        <w:tab w:val="center" w:pos="4677"/>
        <w:tab w:val="right" w:pos="9354"/>
      </w:tabs>
      <w:jc w:val="center"/>
      <w:rPr>
        <w:sz w:val="24"/>
      </w:rPr>
    </w:pPr>
    <w:r>
      <w:rPr>
        <w:sz w:val="24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1" w:rsidRDefault="003F34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A6B18"/>
    <w:multiLevelType w:val="multilevel"/>
    <w:tmpl w:val="A9C44D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71"/>
    <w:rsid w:val="00007325"/>
    <w:rsid w:val="00022BD7"/>
    <w:rsid w:val="000B16DD"/>
    <w:rsid w:val="000B29F7"/>
    <w:rsid w:val="0014004B"/>
    <w:rsid w:val="00184057"/>
    <w:rsid w:val="00192F36"/>
    <w:rsid w:val="00195CE0"/>
    <w:rsid w:val="00197F5D"/>
    <w:rsid w:val="001A1B27"/>
    <w:rsid w:val="001F5984"/>
    <w:rsid w:val="002030B5"/>
    <w:rsid w:val="002563DB"/>
    <w:rsid w:val="00287C52"/>
    <w:rsid w:val="00291D5B"/>
    <w:rsid w:val="0029387D"/>
    <w:rsid w:val="0030530D"/>
    <w:rsid w:val="0035429B"/>
    <w:rsid w:val="00355635"/>
    <w:rsid w:val="00393BB4"/>
    <w:rsid w:val="003F3471"/>
    <w:rsid w:val="00403ECC"/>
    <w:rsid w:val="00442C20"/>
    <w:rsid w:val="004A77A4"/>
    <w:rsid w:val="004D220D"/>
    <w:rsid w:val="005444B3"/>
    <w:rsid w:val="005460D9"/>
    <w:rsid w:val="00551A82"/>
    <w:rsid w:val="005B6719"/>
    <w:rsid w:val="005C45A6"/>
    <w:rsid w:val="006223C3"/>
    <w:rsid w:val="00625FF4"/>
    <w:rsid w:val="00663909"/>
    <w:rsid w:val="006A2162"/>
    <w:rsid w:val="006B2159"/>
    <w:rsid w:val="00707FB1"/>
    <w:rsid w:val="00741D5F"/>
    <w:rsid w:val="007C5464"/>
    <w:rsid w:val="007C5C18"/>
    <w:rsid w:val="007D1AD8"/>
    <w:rsid w:val="0087249E"/>
    <w:rsid w:val="00873782"/>
    <w:rsid w:val="00890B1A"/>
    <w:rsid w:val="008A282F"/>
    <w:rsid w:val="00906342"/>
    <w:rsid w:val="00915817"/>
    <w:rsid w:val="00941A80"/>
    <w:rsid w:val="009448C4"/>
    <w:rsid w:val="009960AB"/>
    <w:rsid w:val="00A143DB"/>
    <w:rsid w:val="00AC4D58"/>
    <w:rsid w:val="00AC5CD7"/>
    <w:rsid w:val="00B01677"/>
    <w:rsid w:val="00B81BFD"/>
    <w:rsid w:val="00BB5AD8"/>
    <w:rsid w:val="00BF2B1A"/>
    <w:rsid w:val="00C81ABD"/>
    <w:rsid w:val="00D24653"/>
    <w:rsid w:val="00D46949"/>
    <w:rsid w:val="00E73765"/>
    <w:rsid w:val="00F063EA"/>
    <w:rsid w:val="00F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AA18"/>
  <w15:docId w15:val="{FD9235E8-E533-449A-89A8-9DB79FF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a7">
    <w:name w:val="Гипертекстовая ссылка"/>
    <w:link w:val="a8"/>
    <w:rPr>
      <w:color w:val="106BBE"/>
    </w:rPr>
  </w:style>
  <w:style w:type="character" w:customStyle="1" w:styleId="a8">
    <w:name w:val="Гипертекстовая ссылка"/>
    <w:link w:val="a7"/>
    <w:rPr>
      <w:color w:val="106BBE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ody Text Indent"/>
    <w:basedOn w:val="a"/>
    <w:link w:val="aa"/>
    <w:pPr>
      <w:ind w:firstLine="708"/>
      <w:jc w:val="both"/>
    </w:pPr>
    <w:rPr>
      <w:sz w:val="24"/>
    </w:rPr>
  </w:style>
  <w:style w:type="character" w:customStyle="1" w:styleId="aa">
    <w:name w:val="Основной текст с отступом Знак"/>
    <w:basedOn w:val="1"/>
    <w:link w:val="a9"/>
    <w:rPr>
      <w:color w:val="000000"/>
      <w:sz w:val="24"/>
    </w:rPr>
  </w:style>
  <w:style w:type="paragraph" w:customStyle="1" w:styleId="12">
    <w:name w:val="Основной шрифт абзаца1"/>
  </w:style>
  <w:style w:type="paragraph" w:styleId="ab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</w:rPr>
  </w:style>
  <w:style w:type="paragraph" w:styleId="ad">
    <w:name w:val="caption"/>
    <w:basedOn w:val="a"/>
    <w:next w:val="a"/>
    <w:link w:val="ae"/>
    <w:pPr>
      <w:jc w:val="center"/>
    </w:pPr>
    <w:rPr>
      <w:b/>
    </w:rPr>
  </w:style>
  <w:style w:type="character" w:customStyle="1" w:styleId="ae">
    <w:name w:val="Название объекта Знак"/>
    <w:basedOn w:val="1"/>
    <w:link w:val="ad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">
    <w:name w:val="Body Text"/>
    <w:basedOn w:val="a"/>
    <w:link w:val="af0"/>
    <w:pPr>
      <w:spacing w:beforeAutospacing="1" w:afterAutospacing="1"/>
    </w:pPr>
    <w:rPr>
      <w:color w:val="00FFFF"/>
      <w:sz w:val="24"/>
    </w:rPr>
  </w:style>
  <w:style w:type="character" w:customStyle="1" w:styleId="af0">
    <w:name w:val="Основной текст Знак"/>
    <w:basedOn w:val="1"/>
    <w:link w:val="af"/>
    <w:rPr>
      <w:color w:val="00FFFF"/>
      <w:sz w:val="24"/>
    </w:rPr>
  </w:style>
  <w:style w:type="paragraph" w:customStyle="1" w:styleId="13">
    <w:name w:val="Номер страницы1"/>
    <w:basedOn w:val="12"/>
    <w:link w:val="af1"/>
  </w:style>
  <w:style w:type="character" w:styleId="af1">
    <w:name w:val="page number"/>
    <w:basedOn w:val="a0"/>
    <w:link w:val="13"/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color w:val="000000"/>
      <w:sz w:val="24"/>
    </w:rPr>
  </w:style>
  <w:style w:type="paragraph" w:styleId="af2">
    <w:name w:val="No Spacing"/>
    <w:link w:val="af3"/>
    <w:rPr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basedOn w:val="1"/>
    <w:link w:val="35"/>
    <w:rPr>
      <w:color w:val="993366"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4"/>
    </w:rPr>
  </w:style>
  <w:style w:type="character" w:customStyle="1" w:styleId="af5">
    <w:name w:val="Знак"/>
    <w:basedOn w:val="1"/>
    <w:link w:val="af4"/>
    <w:rPr>
      <w:rFonts w:ascii="Verdana" w:hAnsi="Verdana"/>
      <w:sz w:val="24"/>
    </w:rPr>
  </w:style>
  <w:style w:type="paragraph" w:customStyle="1" w:styleId="14">
    <w:name w:val="Просмотренная гиперссылка1"/>
    <w:link w:val="af6"/>
    <w:rPr>
      <w:color w:val="800080"/>
      <w:u w:val="single"/>
    </w:rPr>
  </w:style>
  <w:style w:type="character" w:styleId="af6">
    <w:name w:val="FollowedHyperlink"/>
    <w:link w:val="14"/>
    <w:rPr>
      <w:color w:val="800080"/>
      <w:u w:val="single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sz w:val="28"/>
    </w:rPr>
  </w:style>
  <w:style w:type="paragraph" w:customStyle="1" w:styleId="15">
    <w:name w:val="Гиперссылка1"/>
    <w:link w:val="af9"/>
    <w:rPr>
      <w:color w:val="0000FF"/>
      <w:u w:val="single"/>
    </w:rPr>
  </w:style>
  <w:style w:type="character" w:styleId="af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примечания1"/>
    <w:link w:val="afa"/>
    <w:rPr>
      <w:sz w:val="16"/>
    </w:rPr>
  </w:style>
  <w:style w:type="character" w:styleId="afa">
    <w:name w:val="annotation reference"/>
    <w:link w:val="18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</w:rPr>
  </w:style>
  <w:style w:type="character" w:customStyle="1" w:styleId="26">
    <w:name w:val="Основной текст с отступом 2 Знак"/>
    <w:basedOn w:val="1"/>
    <w:link w:val="25"/>
    <w:rPr>
      <w:color w:val="FF00FF"/>
      <w:sz w:val="24"/>
    </w:rPr>
  </w:style>
  <w:style w:type="paragraph" w:styleId="afb">
    <w:name w:val="Plain Text"/>
    <w:basedOn w:val="a"/>
    <w:link w:val="afc"/>
    <w:rPr>
      <w:rFonts w:ascii="Courier New" w:hAnsi="Courier New"/>
      <w:sz w:val="20"/>
    </w:rPr>
  </w:style>
  <w:style w:type="character" w:customStyle="1" w:styleId="afc">
    <w:name w:val="Текст Знак"/>
    <w:basedOn w:val="1"/>
    <w:link w:val="afb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">
    <w:name w:val="annotation subject"/>
    <w:basedOn w:val="ab"/>
    <w:next w:val="ab"/>
    <w:link w:val="aff0"/>
    <w:rPr>
      <w:b/>
    </w:rPr>
  </w:style>
  <w:style w:type="character" w:customStyle="1" w:styleId="aff0">
    <w:name w:val="Тема примечания Знак"/>
    <w:basedOn w:val="ac"/>
    <w:link w:val="aff"/>
    <w:rPr>
      <w:b/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Заголовок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5">
    <w:name w:val="List Paragraph"/>
    <w:basedOn w:val="a"/>
    <w:link w:val="af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2025-09-14T23:39:00Z</cp:lastPrinted>
  <dcterms:created xsi:type="dcterms:W3CDTF">2025-09-14T23:37:00Z</dcterms:created>
  <dcterms:modified xsi:type="dcterms:W3CDTF">2025-09-14T23:37:00Z</dcterms:modified>
</cp:coreProperties>
</file>