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6B" w:rsidRDefault="0079325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30250" cy="920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02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16B" w:rsidRDefault="001F616B">
      <w:pPr>
        <w:jc w:val="center"/>
        <w:rPr>
          <w:sz w:val="28"/>
        </w:rPr>
      </w:pPr>
    </w:p>
    <w:p w:rsidR="001F616B" w:rsidRDefault="0079325E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1F616B" w:rsidRDefault="001F616B">
      <w:pPr>
        <w:jc w:val="center"/>
        <w:rPr>
          <w:sz w:val="28"/>
        </w:rPr>
      </w:pPr>
    </w:p>
    <w:p w:rsidR="001F616B" w:rsidRDefault="0079325E">
      <w:pPr>
        <w:jc w:val="center"/>
        <w:rPr>
          <w:sz w:val="28"/>
        </w:rPr>
      </w:pPr>
      <w:r>
        <w:rPr>
          <w:sz w:val="28"/>
        </w:rPr>
        <w:t>ЧУКОТСКИЙ АВТОНОМНЫЙ ОКРУГ</w:t>
      </w:r>
    </w:p>
    <w:p w:rsidR="001F616B" w:rsidRDefault="001F616B">
      <w:pPr>
        <w:jc w:val="center"/>
        <w:rPr>
          <w:sz w:val="28"/>
        </w:rPr>
      </w:pPr>
    </w:p>
    <w:p w:rsidR="001F616B" w:rsidRDefault="0079325E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1F616B" w:rsidRDefault="001F616B">
      <w:pPr>
        <w:jc w:val="center"/>
        <w:rPr>
          <w:b/>
          <w:sz w:val="28"/>
        </w:rPr>
      </w:pPr>
    </w:p>
    <w:p w:rsidR="001F616B" w:rsidRDefault="0079325E">
      <w:pPr>
        <w:jc w:val="center"/>
      </w:pPr>
      <w:r>
        <w:rPr>
          <w:b/>
          <w:sz w:val="28"/>
        </w:rPr>
        <w:t>«О некоторых в</w:t>
      </w:r>
      <w:r w:rsidR="00182D8C">
        <w:rPr>
          <w:b/>
          <w:sz w:val="28"/>
        </w:rPr>
        <w:t>опросах правового регулирования</w:t>
      </w:r>
      <w:r>
        <w:rPr>
          <w:b/>
          <w:sz w:val="28"/>
        </w:rPr>
        <w:t xml:space="preserve"> непосредственного осуществления населением местного самоуправления и участия населения в осуществлении местного самоуправления на территории </w:t>
      </w:r>
    </w:p>
    <w:p w:rsidR="001F616B" w:rsidRDefault="0079325E">
      <w:pPr>
        <w:jc w:val="center"/>
      </w:pPr>
      <w:r>
        <w:rPr>
          <w:b/>
          <w:sz w:val="28"/>
        </w:rPr>
        <w:t>Чукотского автономного округа и признании утратившим силу законодательного акта Чукотского автономного округа»</w:t>
      </w:r>
    </w:p>
    <w:p w:rsidR="001F616B" w:rsidRDefault="001F616B">
      <w:pPr>
        <w:pStyle w:val="10"/>
      </w:pPr>
    </w:p>
    <w:p w:rsidR="001F616B" w:rsidRDefault="001F616B"/>
    <w:p w:rsidR="001F616B" w:rsidRDefault="0079325E">
      <w:pPr>
        <w:pStyle w:val="10"/>
        <w:jc w:val="both"/>
      </w:pPr>
      <w:r>
        <w:t>Принят Думой Чукотского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>автономного округа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>12 сентября 2025 года</w:t>
      </w:r>
    </w:p>
    <w:p w:rsidR="001F616B" w:rsidRDefault="001F616B">
      <w:pPr>
        <w:jc w:val="both"/>
        <w:rPr>
          <w:sz w:val="28"/>
        </w:rPr>
      </w:pPr>
    </w:p>
    <w:p w:rsidR="001F616B" w:rsidRDefault="001F616B">
      <w:pPr>
        <w:jc w:val="both"/>
        <w:rPr>
          <w:sz w:val="28"/>
        </w:rPr>
      </w:pPr>
    </w:p>
    <w:p w:rsidR="001F616B" w:rsidRDefault="0079325E">
      <w:pPr>
        <w:jc w:val="both"/>
      </w:pPr>
      <w:r>
        <w:tab/>
      </w:r>
      <w:r>
        <w:rPr>
          <w:sz w:val="28"/>
        </w:rPr>
        <w:t xml:space="preserve">Настоящий Закон в соответствии с Федеральным законом                       </w:t>
      </w:r>
      <w:r>
        <w:rPr>
          <w:sz w:val="28"/>
        </w:rPr>
        <w:t xml:space="preserve">             от 20 марта 2025 года № 33-ФЗ «Об общих принципах организации местного самоуправления в единой системе публичной власти» регулирует вопросы, касающиеся порядка назначения и проведения опроса граждан, публичных слушаний в муниципальных образова</w:t>
      </w:r>
      <w:r>
        <w:rPr>
          <w:sz w:val="28"/>
        </w:rPr>
        <w:t>ниях Чукотского автономного округа, статуса и гарантии деятельности старосты сельского населенного пункта, отдельные вопросы непосредственного осуществления населением местного самоуправления и участия населения в осуществлении местного самоуправления на т</w:t>
      </w:r>
      <w:r>
        <w:rPr>
          <w:sz w:val="28"/>
        </w:rPr>
        <w:t>ерритории Чукотского автономного округа.</w:t>
      </w:r>
    </w:p>
    <w:p w:rsidR="001F616B" w:rsidRDefault="001F616B"/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1.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назначения и проведения опроса граждан в муниципальных образованиях Чукотского автономного округа</w:t>
            </w:r>
          </w:p>
        </w:tc>
      </w:tr>
    </w:tbl>
    <w:p w:rsidR="001F616B" w:rsidRDefault="001F616B">
      <w:pPr>
        <w:ind w:firstLine="540"/>
        <w:jc w:val="both"/>
        <w:outlineLvl w:val="0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Общие положения</w:t>
            </w:r>
          </w:p>
        </w:tc>
      </w:tr>
    </w:tbl>
    <w:p w:rsidR="001F616B" w:rsidRDefault="001F616B">
      <w:pPr>
        <w:ind w:firstLine="540"/>
        <w:jc w:val="both"/>
        <w:outlineLvl w:val="0"/>
        <w:rPr>
          <w:sz w:val="28"/>
        </w:rPr>
      </w:pPr>
    </w:p>
    <w:p w:rsidR="001F616B" w:rsidRDefault="0079325E">
      <w:pPr>
        <w:pStyle w:val="a4"/>
        <w:ind w:firstLine="540"/>
        <w:jc w:val="both"/>
        <w:outlineLvl w:val="0"/>
      </w:pPr>
      <w:r>
        <w:t xml:space="preserve"> 1. Опрос граждан (далее - опрос) является формой участия населения </w:t>
      </w:r>
      <w:r>
        <w:br/>
      </w:r>
      <w:r>
        <w:t xml:space="preserve">в осуществлении местного самоуправления и проводится на всей территории муниципального образования Чукотского автономного округа или на части его территории для выявления мнения населения при принятии решений органами местного самоуправления муниципальных </w:t>
      </w:r>
      <w:r>
        <w:t>образований Чукотского автономного округа (далее соответственно - органы местного самоуправления, муниципальные образования) и должностными лицами местного самоуправления в части осуществления полномочий по решению вопросов непосредственного обеспечения жи</w:t>
      </w:r>
      <w:r>
        <w:t>знедеятельности населения (вопросов местного значения), а также органами государственной власти Чукотского автономного округа в части осуществления полномочий по решению вопросов установления общих принципов организации местного самоуправления.</w:t>
      </w:r>
    </w:p>
    <w:p w:rsidR="001F616B" w:rsidRDefault="0079325E">
      <w:pPr>
        <w:pStyle w:val="a4"/>
        <w:ind w:firstLine="540"/>
        <w:jc w:val="both"/>
        <w:outlineLvl w:val="0"/>
        <w:rPr>
          <w:b/>
        </w:rPr>
      </w:pPr>
      <w:r>
        <w:t xml:space="preserve">2. </w:t>
      </w:r>
      <w:r>
        <w:t xml:space="preserve">Порядок </w:t>
      </w:r>
      <w:r>
        <w:t xml:space="preserve">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</w:t>
      </w:r>
      <w:r>
        <w:t xml:space="preserve">Федеральным </w:t>
      </w:r>
      <w:hyperlink r:id="rId7" w:history="1">
        <w:r>
          <w:rPr>
            <w:rStyle w:val="af5"/>
            <w:color w:val="000000"/>
            <w:u w:val="none"/>
          </w:rPr>
          <w:t>законом</w:t>
        </w:r>
      </w:hyperlink>
      <w:r>
        <w:t xml:space="preserve"> от</w:t>
      </w:r>
      <w:r>
        <w:t xml:space="preserve"> 20 марта 2025 года                № 33-ФЗ «Об общих принципах организации местного самоуправления в единой системе публичной власти» и настоящим</w:t>
      </w:r>
      <w:r>
        <w:t xml:space="preserve"> Законом </w:t>
      </w:r>
      <w:r>
        <w:t xml:space="preserve">(далее соответственно - </w:t>
      </w:r>
      <w:r>
        <w:t xml:space="preserve">Федеральный </w:t>
      </w:r>
      <w:r>
        <w:rPr>
          <w:rStyle w:val="af5"/>
          <w:color w:val="000000"/>
          <w:u w:val="none"/>
        </w:rPr>
        <w:t>з</w:t>
      </w:r>
      <w:r>
        <w:rPr>
          <w:rStyle w:val="af5"/>
          <w:color w:val="000000"/>
          <w:u w:val="none"/>
        </w:rPr>
        <w:t xml:space="preserve">акон </w:t>
      </w:r>
      <w:r>
        <w:t xml:space="preserve">«Об общих принципах организации местного самоуправления в единой системе публичной власти», в настоящей главе - </w:t>
      </w:r>
      <w:r>
        <w:t>нормативный правовой акт представительного органа).</w:t>
      </w:r>
    </w:p>
    <w:p w:rsidR="001F616B" w:rsidRDefault="00182D8C">
      <w:pPr>
        <w:jc w:val="both"/>
      </w:pPr>
      <w:r>
        <w:rPr>
          <w:sz w:val="28"/>
        </w:rPr>
        <w:tab/>
        <w:t xml:space="preserve">3. </w:t>
      </w:r>
      <w:r w:rsidR="0079325E">
        <w:rPr>
          <w:sz w:val="28"/>
        </w:rPr>
        <w:t>В опросе по вопросу выявления мнения граждан о поддержке инициативного проекта впр</w:t>
      </w:r>
      <w:r w:rsidR="0079325E">
        <w:rPr>
          <w:sz w:val="28"/>
        </w:rPr>
        <w:t xml:space="preserve">аве участвовать жители муниципального образования или его части, в которых предлагается </w:t>
      </w:r>
      <w:r w:rsidR="0079325E">
        <w:rPr>
          <w:sz w:val="28"/>
        </w:rPr>
        <w:t>реализовать инициативный проект, достигшие восемнадцатилетнего возраста.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4. Каждый житель муниципального образования участвует в опросе непосредственно и обладает </w:t>
      </w:r>
      <w:r>
        <w:rPr>
          <w:sz w:val="28"/>
        </w:rPr>
        <w:t>одним голосом. Результаты опроса носят рекомендательный характер.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</w:pPr>
            <w:r>
              <w:rPr>
                <w:b/>
                <w:sz w:val="28"/>
              </w:rPr>
              <w:t>Статья 2.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ind w:left="-108"/>
              <w:jc w:val="both"/>
              <w:outlineLvl w:val="0"/>
              <w:rPr>
                <w:b/>
                <w:sz w:val="24"/>
              </w:rPr>
            </w:pPr>
            <w:r>
              <w:rPr>
                <w:b/>
              </w:rPr>
              <w:t>Инициатива проведения и назначение опроса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p w:rsidR="001F616B" w:rsidRDefault="00182D8C">
      <w:pPr>
        <w:jc w:val="both"/>
      </w:pPr>
      <w:r>
        <w:rPr>
          <w:sz w:val="28"/>
        </w:rPr>
        <w:tab/>
        <w:t>1. Опрос</w:t>
      </w:r>
      <w:r w:rsidR="0079325E">
        <w:rPr>
          <w:sz w:val="28"/>
        </w:rPr>
        <w:t xml:space="preserve"> проводится по инициативе: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1) представительного органа муниципального образования, главы муниципального образования или </w:t>
      </w:r>
      <w:r>
        <w:rPr>
          <w:sz w:val="28"/>
        </w:rPr>
        <w:t>главы местной администрации;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2)   органов государственной власти Чукотского автономного округа;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</w:t>
      </w:r>
      <w:r>
        <w:rPr>
          <w:sz w:val="28"/>
        </w:rPr>
        <w:t xml:space="preserve">го инициативного проекта. </w:t>
      </w:r>
      <w:r>
        <w:rPr>
          <w:sz w:val="28"/>
        </w:rPr>
        <w:tab/>
      </w:r>
    </w:p>
    <w:p w:rsidR="001F616B" w:rsidRDefault="0079325E">
      <w:pPr>
        <w:jc w:val="both"/>
      </w:pPr>
      <w:r>
        <w:rPr>
          <w:sz w:val="28"/>
        </w:rPr>
        <w:tab/>
        <w:t xml:space="preserve">2. Инициаторы проведения опроса, указанные в </w:t>
      </w:r>
      <w:r>
        <w:rPr>
          <w:rStyle w:val="af5"/>
          <w:color w:val="000000"/>
          <w:sz w:val="28"/>
          <w:u w:val="none"/>
        </w:rPr>
        <w:t>части 1</w:t>
      </w:r>
      <w:r>
        <w:rPr>
          <w:sz w:val="28"/>
        </w:rPr>
        <w:t xml:space="preserve"> настоящей статьи, за исключением представительного органа муниципального образования, направляют в представительный орган муниципального образования ходатайство о проведении </w:t>
      </w:r>
      <w:r>
        <w:rPr>
          <w:sz w:val="28"/>
        </w:rPr>
        <w:t>опроса (далее - ходатайство).</w:t>
      </w:r>
    </w:p>
    <w:p w:rsidR="001F616B" w:rsidRDefault="0079325E">
      <w:pPr>
        <w:jc w:val="both"/>
      </w:pPr>
      <w:r>
        <w:rPr>
          <w:sz w:val="28"/>
        </w:rPr>
        <w:tab/>
        <w:t>В ходатайстве указываются: мотивы опроса; формулировка вопроса (вопросов), предлагаемого (предлагаемых) при проведении опроса (далее также - вопрос); территория опроса; предполагаемая дата проведения опроса.</w:t>
      </w:r>
    </w:p>
    <w:p w:rsidR="001F616B" w:rsidRDefault="0079325E">
      <w:pPr>
        <w:jc w:val="both"/>
      </w:pPr>
      <w:r>
        <w:rPr>
          <w:sz w:val="28"/>
        </w:rPr>
        <w:tab/>
        <w:t>3. Ходатайство р</w:t>
      </w:r>
      <w:r>
        <w:rPr>
          <w:sz w:val="28"/>
        </w:rPr>
        <w:t xml:space="preserve">ассматривается представительным органом </w:t>
      </w:r>
      <w:r>
        <w:rPr>
          <w:sz w:val="28"/>
        </w:rPr>
        <w:t>муниципального образования в порядке и сроки, установленные нормативным правовым актом представительного органа.</w:t>
      </w:r>
    </w:p>
    <w:p w:rsidR="001F616B" w:rsidRDefault="0079325E">
      <w:pPr>
        <w:jc w:val="both"/>
      </w:pPr>
      <w:r>
        <w:rPr>
          <w:sz w:val="28"/>
        </w:rPr>
        <w:tab/>
        <w:t>4. Если с инициативой проведения опроса выступает представительный орган муниципального образования, т</w:t>
      </w:r>
      <w:r>
        <w:rPr>
          <w:sz w:val="28"/>
        </w:rPr>
        <w:t xml:space="preserve">о им принимается решение о необходимости проведения опроса, содержащее сведения, установленные в </w:t>
      </w:r>
      <w:hyperlink r:id="rId8" w:history="1">
        <w:r>
          <w:rPr>
            <w:rStyle w:val="af5"/>
            <w:color w:val="000000"/>
            <w:sz w:val="28"/>
            <w:u w:val="none"/>
          </w:rPr>
          <w:t>части 2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настоящей статьи. </w:t>
      </w:r>
    </w:p>
    <w:p w:rsidR="001F616B" w:rsidRDefault="0079325E">
      <w:pPr>
        <w:pStyle w:val="a4"/>
        <w:ind w:firstLine="540"/>
        <w:jc w:val="both"/>
        <w:outlineLvl w:val="0"/>
        <w:rPr>
          <w:b/>
        </w:rPr>
      </w:pPr>
      <w:r>
        <w:t xml:space="preserve">5. </w:t>
      </w:r>
      <w:r>
        <w:t>Решение о назна</w:t>
      </w:r>
      <w:r>
        <w:t xml:space="preserve">чении опроса либо об отказе в назначении опроса принимается </w:t>
      </w:r>
      <w:r>
        <w:t>представительным органом муниципального образования в</w:t>
      </w:r>
      <w:r w:rsidR="00182D8C">
        <w:t xml:space="preserve"> течение трех месяцев с момента</w:t>
      </w:r>
      <w:r>
        <w:t xml:space="preserve"> поступления к нему </w:t>
      </w:r>
      <w:proofErr w:type="gramStart"/>
      <w:r>
        <w:t>ходатайства</w:t>
      </w:r>
      <w:proofErr w:type="gramEnd"/>
      <w:r>
        <w:t xml:space="preserve"> либо принятия им решения о необходимости проведения опроса.</w:t>
      </w:r>
    </w:p>
    <w:p w:rsidR="001F616B" w:rsidRDefault="0079325E">
      <w:pPr>
        <w:pStyle w:val="a4"/>
        <w:ind w:firstLine="540"/>
        <w:jc w:val="both"/>
        <w:outlineLvl w:val="0"/>
        <w:rPr>
          <w:b/>
        </w:rPr>
      </w:pPr>
      <w:r>
        <w:t>Для проведения опро</w:t>
      </w:r>
      <w:r>
        <w:t>са может использоваться официальный сайт муниципального образования в информационно-телекоммуникационной сети «Интернет» (далее - сеть «Интернет»).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6. В решении представительного органа муниципального о</w:t>
      </w:r>
      <w:r w:rsidR="00182D8C">
        <w:rPr>
          <w:sz w:val="28"/>
        </w:rPr>
        <w:t xml:space="preserve">бразования о назначении опроса </w:t>
      </w:r>
      <w:r>
        <w:rPr>
          <w:sz w:val="28"/>
        </w:rPr>
        <w:t>устанавливаются: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1) дата и сроки проведения опроса;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2) формулировка вопроса (вопросов), предлагаемого (предлагаемых) при проведении опроса;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3) методика проведения опроса;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4) форма опросного листа;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5) минимальная численность жителей муниципального образования, участ</w:t>
      </w:r>
      <w:r>
        <w:rPr>
          <w:sz w:val="28"/>
        </w:rPr>
        <w:t xml:space="preserve">вующих в опросе;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образования </w:t>
      </w:r>
      <w:proofErr w:type="gramStart"/>
      <w:r>
        <w:rPr>
          <w:sz w:val="28"/>
        </w:rPr>
        <w:t>в  сети</w:t>
      </w:r>
      <w:proofErr w:type="gramEnd"/>
      <w:r>
        <w:rPr>
          <w:sz w:val="28"/>
        </w:rPr>
        <w:t xml:space="preserve"> «Интернет».</w:t>
      </w:r>
    </w:p>
    <w:p w:rsidR="001F616B" w:rsidRDefault="0079325E">
      <w:pPr>
        <w:pStyle w:val="a4"/>
        <w:tabs>
          <w:tab w:val="left" w:pos="740"/>
        </w:tabs>
        <w:jc w:val="both"/>
      </w:pPr>
      <w:r>
        <w:tab/>
        <w:t>7.</w:t>
      </w:r>
      <w:r>
        <w:tab/>
        <w:t>Жители муниципального образования должны быть проинформированы уполномоч</w:t>
      </w:r>
      <w:r>
        <w:t>енным органом или должностным лицом местного само</w:t>
      </w:r>
      <w:r w:rsidR="00182D8C">
        <w:t xml:space="preserve">управления о проведении опроса </w:t>
      </w:r>
      <w:r>
        <w:t>не менее чем за 10 дней до его проведения.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8. Не менее чем за 10 дней до даты проведения опрос</w:t>
      </w:r>
      <w:r w:rsidR="00182D8C">
        <w:rPr>
          <w:sz w:val="28"/>
        </w:rPr>
        <w:t xml:space="preserve">а, решение о назначении опроса </w:t>
      </w:r>
      <w:proofErr w:type="gramStart"/>
      <w:r>
        <w:rPr>
          <w:sz w:val="28"/>
        </w:rPr>
        <w:t>подлежит  опубликованию</w:t>
      </w:r>
      <w:proofErr w:type="gramEnd"/>
      <w:r>
        <w:rPr>
          <w:sz w:val="28"/>
        </w:rPr>
        <w:t xml:space="preserve">  в средствах массовой ин</w:t>
      </w:r>
      <w:r>
        <w:rPr>
          <w:sz w:val="28"/>
        </w:rPr>
        <w:t>формации и размещению на официальном сайте муниципального образования в сети «Интернет».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Нормативным правовым актом представительного органа </w:t>
      </w:r>
      <w:r>
        <w:rPr>
          <w:sz w:val="28"/>
        </w:rPr>
        <w:t xml:space="preserve">может быть установлено, что решение о назначении опроса дополнительно </w:t>
      </w:r>
      <w:proofErr w:type="gramStart"/>
      <w:r>
        <w:rPr>
          <w:sz w:val="28"/>
        </w:rPr>
        <w:t>размещается  через</w:t>
      </w:r>
      <w:proofErr w:type="gramEnd"/>
      <w:r>
        <w:rPr>
          <w:sz w:val="28"/>
        </w:rPr>
        <w:t xml:space="preserve"> социальные сети, а также </w:t>
      </w:r>
      <w:r>
        <w:rPr>
          <w:sz w:val="28"/>
        </w:rPr>
        <w:t>путем вывешивания на информационных стендах и другими способами.</w:t>
      </w:r>
    </w:p>
    <w:p w:rsidR="001F616B" w:rsidRDefault="0079325E">
      <w:pPr>
        <w:jc w:val="both"/>
      </w:pPr>
      <w:r>
        <w:rPr>
          <w:sz w:val="28"/>
        </w:rPr>
        <w:tab/>
        <w:t xml:space="preserve">9. Максимальный срок проведения опроса не должен превышать 60 календарных дней </w:t>
      </w:r>
      <w:r>
        <w:rPr>
          <w:sz w:val="28"/>
        </w:rPr>
        <w:t>со дня принятия решения о назначении опроса.</w:t>
      </w:r>
    </w:p>
    <w:p w:rsidR="001F616B" w:rsidRDefault="0079325E">
      <w:pPr>
        <w:pStyle w:val="a4"/>
        <w:jc w:val="both"/>
      </w:pPr>
      <w:r>
        <w:tab/>
        <w:t>10</w:t>
      </w:r>
      <w:r>
        <w:t>. Решение об отказе в назначении опроса принимается в случае на</w:t>
      </w:r>
      <w:r>
        <w:t xml:space="preserve">рушения требований, предусмотренных </w:t>
      </w:r>
      <w:hyperlink r:id="rId9" w:history="1">
        <w:r>
          <w:rPr>
            <w:rStyle w:val="af5"/>
            <w:color w:val="000000"/>
            <w:u w:val="none"/>
          </w:rPr>
          <w:t>частью 1</w:t>
        </w:r>
      </w:hyperlink>
      <w:r>
        <w:t xml:space="preserve"> и (или) </w:t>
      </w:r>
      <w:hyperlink r:id="rId10" w:history="1">
        <w:r>
          <w:rPr>
            <w:rStyle w:val="af5"/>
            <w:color w:val="000000"/>
            <w:u w:val="none"/>
          </w:rPr>
          <w:t>абзацем вторым части 2</w:t>
        </w:r>
      </w:hyperlink>
      <w:r>
        <w:t xml:space="preserve">, </w:t>
      </w:r>
      <w:r>
        <w:t xml:space="preserve"> частью </w:t>
      </w:r>
      <w:r>
        <w:t xml:space="preserve">4 </w:t>
      </w:r>
      <w:r>
        <w:t xml:space="preserve"> настоящей статьи.</w:t>
      </w:r>
    </w:p>
    <w:p w:rsidR="001F616B" w:rsidRDefault="0079325E">
      <w:pPr>
        <w:jc w:val="both"/>
      </w:pPr>
      <w:r>
        <w:rPr>
          <w:sz w:val="28"/>
        </w:rPr>
        <w:tab/>
        <w:t>Решение об отказе в</w:t>
      </w:r>
      <w:r w:rsidR="00182D8C">
        <w:rPr>
          <w:sz w:val="28"/>
        </w:rPr>
        <w:t xml:space="preserve"> назначении опроса направляется</w:t>
      </w:r>
      <w:r>
        <w:rPr>
          <w:sz w:val="28"/>
        </w:rPr>
        <w:t xml:space="preserve"> </w:t>
      </w:r>
      <w:r>
        <w:rPr>
          <w:sz w:val="28"/>
        </w:rPr>
        <w:t xml:space="preserve">инициатору проведения </w:t>
      </w:r>
      <w:r>
        <w:rPr>
          <w:sz w:val="28"/>
        </w:rPr>
        <w:t>опроса в форме и сроки, утвержденные нормативным правовым актом представительного органа.</w:t>
      </w:r>
    </w:p>
    <w:p w:rsidR="001F616B" w:rsidRDefault="0079325E">
      <w:pPr>
        <w:jc w:val="both"/>
      </w:pPr>
      <w:r>
        <w:rPr>
          <w:sz w:val="28"/>
        </w:rPr>
        <w:tab/>
      </w: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</w:pPr>
            <w:r>
              <w:rPr>
                <w:b/>
                <w:sz w:val="28"/>
              </w:rPr>
              <w:t>Статья 3.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ind w:left="-108"/>
              <w:jc w:val="both"/>
              <w:outlineLvl w:val="0"/>
            </w:pPr>
            <w:r>
              <w:rPr>
                <w:b/>
              </w:rPr>
              <w:t>Методика проведения опроса и опросный лист</w:t>
            </w:r>
          </w:p>
        </w:tc>
      </w:tr>
    </w:tbl>
    <w:p w:rsidR="001F616B" w:rsidRDefault="001F616B">
      <w:pPr>
        <w:ind w:firstLine="540"/>
        <w:jc w:val="both"/>
        <w:outlineLvl w:val="0"/>
        <w:rPr>
          <w:b/>
          <w:sz w:val="28"/>
        </w:rPr>
      </w:pPr>
    </w:p>
    <w:p w:rsidR="001F616B" w:rsidRDefault="0079325E">
      <w:pPr>
        <w:jc w:val="both"/>
        <w:outlineLvl w:val="0"/>
        <w:rPr>
          <w:b/>
          <w:sz w:val="28"/>
        </w:rPr>
      </w:pPr>
      <w:r>
        <w:rPr>
          <w:sz w:val="28"/>
        </w:rPr>
        <w:tab/>
        <w:t>1. Методика проведения опроса устанавливается с учетом вопроса (вопросов), предлагаемого (предлагаемых) при проведении опроса граждан на всей территории муниципального образования или на части его территории и</w:t>
      </w:r>
      <w:r>
        <w:rPr>
          <w:sz w:val="28"/>
        </w:rPr>
        <w:t xml:space="preserve"> определяет:</w:t>
      </w:r>
    </w:p>
    <w:p w:rsidR="001F616B" w:rsidRDefault="0079325E">
      <w:pPr>
        <w:jc w:val="both"/>
        <w:outlineLvl w:val="0"/>
        <w:rPr>
          <w:b/>
          <w:sz w:val="28"/>
        </w:rPr>
      </w:pPr>
      <w:r>
        <w:rPr>
          <w:sz w:val="28"/>
        </w:rPr>
        <w:tab/>
        <w:t>1) территорию проведения опроса;</w:t>
      </w:r>
    </w:p>
    <w:p w:rsidR="001F616B" w:rsidRDefault="0079325E">
      <w:pPr>
        <w:jc w:val="both"/>
        <w:outlineLvl w:val="0"/>
        <w:rPr>
          <w:b/>
          <w:sz w:val="28"/>
        </w:rPr>
      </w:pPr>
      <w:r>
        <w:rPr>
          <w:sz w:val="28"/>
        </w:rPr>
        <w:tab/>
        <w:t>2) способ (способы) проведения опроса;</w:t>
      </w:r>
    </w:p>
    <w:p w:rsidR="001F616B" w:rsidRDefault="0079325E">
      <w:pPr>
        <w:jc w:val="both"/>
        <w:outlineLvl w:val="0"/>
        <w:rPr>
          <w:b/>
          <w:sz w:val="28"/>
        </w:rPr>
      </w:pPr>
      <w:r>
        <w:rPr>
          <w:sz w:val="28"/>
        </w:rPr>
        <w:tab/>
        <w:t>3) процедуру проведения опроса;</w:t>
      </w:r>
    </w:p>
    <w:p w:rsidR="001F616B" w:rsidRDefault="0079325E">
      <w:pPr>
        <w:jc w:val="both"/>
        <w:outlineLvl w:val="0"/>
        <w:rPr>
          <w:b/>
          <w:sz w:val="28"/>
        </w:rPr>
      </w:pPr>
      <w:r>
        <w:rPr>
          <w:sz w:val="28"/>
        </w:rPr>
        <w:tab/>
        <w:t>4) порядок определения результатов опроса.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2. При проведен</w:t>
      </w:r>
      <w:r w:rsidR="00182D8C">
        <w:rPr>
          <w:sz w:val="28"/>
        </w:rPr>
        <w:t xml:space="preserve">ии опроса могут использоваться </w:t>
      </w:r>
      <w:r>
        <w:rPr>
          <w:sz w:val="28"/>
        </w:rPr>
        <w:t>опросные листы, примерная форма которых уста</w:t>
      </w:r>
      <w:r>
        <w:rPr>
          <w:sz w:val="28"/>
        </w:rPr>
        <w:t>навливается нормативным правовым актом представительного органа.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3. В опросном листе точно воспроизводятся текст вопроса и возможные варианты волеизъявления («за» или «против») жителей, принявших участие в опросе, под которыми помещаются пустые квадраты д</w:t>
      </w:r>
      <w:r>
        <w:rPr>
          <w:sz w:val="28"/>
        </w:rPr>
        <w:t xml:space="preserve">ля соответствующих отметок. Вопросы должны быть сформулированы четко, ясно и не допускать возможности их различного толкования.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4. При вынесении на опрос нескольких вопросов опросные листы оформляются на каждый вопрос отдельно.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Опрос может проводиться</w:t>
      </w:r>
      <w:r>
        <w:rPr>
          <w:sz w:val="28"/>
        </w:rPr>
        <w:t xml:space="preserve"> одним или несколькими из следующих способов: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1) путем тайного голосования по опросным листам в пунктах проведения опроса;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2) путем открытого голосования по опросным листам в пунктах проведения опроса;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3) путем открытого голосования по опросным листам по м</w:t>
      </w:r>
      <w:r>
        <w:rPr>
          <w:sz w:val="28"/>
        </w:rPr>
        <w:t>есту жительства участников опроса граждан;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4) путем открытого электронного голосования с использованием официального сайта муниципального образования в сети «Интернет»</w:t>
      </w:r>
      <w:r>
        <w:t>.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</w:rPr>
            </w:pPr>
            <w:r>
              <w:rPr>
                <w:b/>
                <w:sz w:val="28"/>
              </w:rPr>
              <w:t xml:space="preserve">Статья 4. 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</w:rPr>
            </w:pPr>
            <w:r>
              <w:rPr>
                <w:b/>
                <w:sz w:val="28"/>
              </w:rPr>
              <w:t>Порядок проведения опроса</w:t>
            </w:r>
          </w:p>
        </w:tc>
      </w:tr>
    </w:tbl>
    <w:p w:rsidR="001F616B" w:rsidRDefault="0079325E">
      <w:pPr>
        <w:rPr>
          <w:sz w:val="28"/>
        </w:rPr>
      </w:pPr>
      <w:r>
        <w:rPr>
          <w:sz w:val="28"/>
        </w:rPr>
        <w:tab/>
      </w:r>
    </w:p>
    <w:p w:rsidR="001F616B" w:rsidRDefault="0079325E">
      <w:pPr>
        <w:jc w:val="both"/>
      </w:pPr>
      <w:r>
        <w:rPr>
          <w:sz w:val="28"/>
        </w:rPr>
        <w:tab/>
        <w:t xml:space="preserve">1. В целях организации и проведения опроса </w:t>
      </w:r>
      <w:r>
        <w:rPr>
          <w:sz w:val="28"/>
        </w:rPr>
        <w:t>представительный орган муниципального образования формирует комиссию по проведению опроса (далее - комиссия).</w:t>
      </w:r>
    </w:p>
    <w:p w:rsidR="001F616B" w:rsidRDefault="0079325E">
      <w:pPr>
        <w:jc w:val="both"/>
      </w:pPr>
      <w:r>
        <w:rPr>
          <w:sz w:val="28"/>
        </w:rPr>
        <w:tab/>
        <w:t>2. Состав, порядок деятельности и полномочия комиссии устанавливаются нормативным правовым актом представительного органа.</w:t>
      </w:r>
    </w:p>
    <w:p w:rsidR="001F616B" w:rsidRDefault="0079325E">
      <w:pPr>
        <w:tabs>
          <w:tab w:val="left" w:pos="680"/>
          <w:tab w:val="left" w:pos="1020"/>
        </w:tabs>
        <w:spacing w:line="2" w:lineRule="atLeast"/>
        <w:ind w:firstLine="709"/>
        <w:jc w:val="both"/>
        <w:rPr>
          <w:sz w:val="28"/>
        </w:rPr>
      </w:pPr>
      <w:r>
        <w:rPr>
          <w:sz w:val="28"/>
        </w:rPr>
        <w:t>3. Комиссией в соответ</w:t>
      </w:r>
      <w:r>
        <w:rPr>
          <w:sz w:val="28"/>
        </w:rPr>
        <w:t>ствии со способом (способами) проведения опроса, определенным (определенными) методикой проведения опроса, могут определяться пункт (пункты) опроса, в котором (которых) будет осуществляться голосование, и (или) порядок проведения подворного (поквартирного)</w:t>
      </w:r>
      <w:r>
        <w:rPr>
          <w:sz w:val="28"/>
        </w:rPr>
        <w:t xml:space="preserve"> обхода для организации голосования по месту жительства участников опроса.</w:t>
      </w:r>
    </w:p>
    <w:p w:rsidR="001F616B" w:rsidRDefault="0079325E">
      <w:pPr>
        <w:tabs>
          <w:tab w:val="left" w:pos="680"/>
          <w:tab w:val="left" w:pos="1020"/>
        </w:tabs>
        <w:spacing w:line="2" w:lineRule="atLeast"/>
        <w:ind w:firstLine="709"/>
        <w:jc w:val="both"/>
        <w:rPr>
          <w:sz w:val="28"/>
        </w:rPr>
      </w:pPr>
      <w:r>
        <w:rPr>
          <w:sz w:val="28"/>
        </w:rPr>
        <w:t>В случаях проведения опроса граждан способами, указанн</w:t>
      </w:r>
      <w:r>
        <w:rPr>
          <w:sz w:val="28"/>
        </w:rPr>
        <w:t xml:space="preserve">ыми в </w:t>
      </w:r>
      <w:r>
        <w:rPr>
          <w:sz w:val="28"/>
          <w:u w:color="000000"/>
        </w:rPr>
        <w:t>пунктах 1</w:t>
      </w:r>
      <w:r>
        <w:rPr>
          <w:sz w:val="28"/>
        </w:rPr>
        <w:t xml:space="preserve"> и </w:t>
      </w:r>
      <w:r>
        <w:rPr>
          <w:sz w:val="28"/>
          <w:u w:color="000000"/>
        </w:rPr>
        <w:t xml:space="preserve">2 части 5 статьи 3 </w:t>
      </w:r>
      <w:r>
        <w:rPr>
          <w:sz w:val="28"/>
        </w:rPr>
        <w:t>настоящего Закона, в каждом населенном пункте на территории проведения опроса граждан долж</w:t>
      </w:r>
      <w:r>
        <w:rPr>
          <w:sz w:val="28"/>
        </w:rPr>
        <w:t>но быть предусмотрено наличие не менее одного пункта опроса.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 xml:space="preserve">4. Порядок информирования жителей муниципального образования о проведении опроса, местонахождениях комиссии и пункта (пунктов) опроса устанавливается нормативным правовым актом представительного </w:t>
      </w:r>
      <w:r>
        <w:rPr>
          <w:sz w:val="28"/>
        </w:rPr>
        <w:t>органа муниципального образования.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 xml:space="preserve">5. В случаях проведения опроса способами, указанными в </w:t>
      </w:r>
      <w:r>
        <w:rPr>
          <w:sz w:val="28"/>
          <w:u w:color="000000"/>
        </w:rPr>
        <w:t>пунктах 1</w:t>
      </w:r>
      <w:r>
        <w:rPr>
          <w:sz w:val="28"/>
        </w:rPr>
        <w:t xml:space="preserve"> - </w:t>
      </w:r>
      <w:r>
        <w:rPr>
          <w:sz w:val="28"/>
          <w:u w:color="000000"/>
        </w:rPr>
        <w:t xml:space="preserve">3 части 5 статьи </w:t>
      </w:r>
      <w:r>
        <w:rPr>
          <w:sz w:val="28"/>
        </w:rPr>
        <w:t xml:space="preserve">3 настоящего Закона, участник опроса после предъявления паспорта или иного документа, удостоверяющего его личность, заполняет опросный </w:t>
      </w:r>
      <w:r>
        <w:rPr>
          <w:sz w:val="28"/>
        </w:rPr>
        <w:t>лист, который должен быть подписан председателем комиссии и секретарем комиссии. В указанных случаях при заполнении опросного листа использование карандаша, а также пишущих приборов, чернила которых могут быть стерты, не допускается.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6. В случае проведения</w:t>
      </w:r>
      <w:r>
        <w:rPr>
          <w:sz w:val="28"/>
        </w:rPr>
        <w:t xml:space="preserve"> опроса способом, указанным в </w:t>
      </w:r>
      <w:r>
        <w:rPr>
          <w:sz w:val="28"/>
          <w:u w:color="000000"/>
        </w:rPr>
        <w:t>пункте 4 части 5 статьи 3</w:t>
      </w:r>
      <w:r>
        <w:rPr>
          <w:sz w:val="28"/>
        </w:rPr>
        <w:t xml:space="preserve"> настоящего Закона, после идентификации участника опроса осуществляется переход к электронной форме опросного листа, в котором участник опроса ставит отметку «За» или «Против» в соответствии со своим в</w:t>
      </w:r>
      <w:r>
        <w:rPr>
          <w:sz w:val="28"/>
        </w:rPr>
        <w:t>олеизъявлением.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7. Опрос признается несостоявшимся в случае, если число граждан, принявших участие в опросе, меньше минимальной численности жителей муниципального образования, участвующих в опросе, установленной в решении представительного органа муниципал</w:t>
      </w:r>
      <w:r>
        <w:rPr>
          <w:sz w:val="28"/>
        </w:rPr>
        <w:t>ьного образования о назначении опроса.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8. После проведения опроса комиссия осуществляет под</w:t>
      </w:r>
      <w:r w:rsidR="00182D8C">
        <w:rPr>
          <w:sz w:val="28"/>
        </w:rPr>
        <w:t xml:space="preserve">счет голосов участников опроса </w:t>
      </w:r>
      <w:r>
        <w:rPr>
          <w:sz w:val="28"/>
        </w:rPr>
        <w:t>и составляет протокол о результатах опроса. В случае проведения опроса по нескольким вопросам подсчет голосов участников опроса и сос</w:t>
      </w:r>
      <w:r>
        <w:rPr>
          <w:sz w:val="28"/>
        </w:rPr>
        <w:t>тавление</w:t>
      </w:r>
      <w:r w:rsidR="00182D8C">
        <w:rPr>
          <w:sz w:val="28"/>
        </w:rPr>
        <w:t xml:space="preserve"> протокола о результатах опроса</w:t>
      </w:r>
      <w:r>
        <w:rPr>
          <w:sz w:val="28"/>
        </w:rPr>
        <w:t xml:space="preserve"> производятся отдельно по каждому вопросу.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9. В протоколе о результатах опроса указываются: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1) общее число граждан, имеющих право на участие в опросе;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2) число граждан, принявших участие в опросе;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3) количество голос</w:t>
      </w:r>
      <w:r>
        <w:rPr>
          <w:sz w:val="28"/>
        </w:rPr>
        <w:t>ов «За», поданных по вопросу, вынесенному на опрос;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4) количество голосов «Против», поданных по вопросу, вынесенному на опрос;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5) одно из следующих решений: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а) о признании опроса состоявшимся;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б) о признании опроса несостоявшимся.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10. Протокол о результата</w:t>
      </w:r>
      <w:r>
        <w:rPr>
          <w:sz w:val="28"/>
        </w:rPr>
        <w:t>х опроса подписывается всеми членами комиссии и направляется в течение 10 рабочих дней со дня определения результатов опроса в представительный орган муниципального образования.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 xml:space="preserve">В случаях проведения опроса способами, указанными в </w:t>
      </w:r>
      <w:r>
        <w:rPr>
          <w:sz w:val="28"/>
          <w:u w:color="000000"/>
        </w:rPr>
        <w:t>пунктах 1</w:t>
      </w:r>
      <w:r>
        <w:rPr>
          <w:sz w:val="28"/>
        </w:rPr>
        <w:t xml:space="preserve"> - </w:t>
      </w:r>
      <w:r>
        <w:rPr>
          <w:sz w:val="28"/>
          <w:u w:color="000000"/>
        </w:rPr>
        <w:t>3 части 5 стат</w:t>
      </w:r>
      <w:r>
        <w:rPr>
          <w:sz w:val="28"/>
          <w:u w:color="000000"/>
        </w:rPr>
        <w:t>ьи 3</w:t>
      </w:r>
      <w:r>
        <w:rPr>
          <w:sz w:val="28"/>
        </w:rPr>
        <w:t xml:space="preserve"> настоящего Закона, к протоколу прикладываются опросные листы.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11. Представительный орган муниципального образования в течение трех рабочих дней со дня получения результатов опроса информирует инициатора проведения опроса о результатах опроса.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12. Резу</w:t>
      </w:r>
      <w:r>
        <w:rPr>
          <w:sz w:val="28"/>
        </w:rPr>
        <w:t>льтаты опроса подлежат обнародованию представительным органом муниципального образования не позднее 15 рабочих дней, следующих за днем определения результатов опроса.</w:t>
      </w:r>
    </w:p>
    <w:p w:rsidR="001F616B" w:rsidRDefault="0079325E">
      <w:pPr>
        <w:spacing w:line="2" w:lineRule="atLeast"/>
        <w:ind w:firstLine="540"/>
        <w:jc w:val="both"/>
        <w:rPr>
          <w:sz w:val="28"/>
        </w:rPr>
      </w:pPr>
      <w:r>
        <w:rPr>
          <w:sz w:val="28"/>
        </w:rPr>
        <w:t>13 Полномочия комиссии прекращаются со дня об</w:t>
      </w:r>
      <w:r w:rsidR="00182D8C">
        <w:rPr>
          <w:sz w:val="28"/>
        </w:rPr>
        <w:t xml:space="preserve">народования результатов опроса </w:t>
      </w:r>
      <w:r>
        <w:rPr>
          <w:sz w:val="28"/>
        </w:rPr>
        <w:t>представител</w:t>
      </w:r>
      <w:r>
        <w:rPr>
          <w:sz w:val="28"/>
        </w:rPr>
        <w:t>ьным органом муниципального образования.</w:t>
      </w:r>
    </w:p>
    <w:p w:rsidR="001F616B" w:rsidRDefault="0079325E">
      <w:pPr>
        <w:spacing w:line="2" w:lineRule="atLeast"/>
        <w:ind w:firstLine="540"/>
        <w:jc w:val="both"/>
      </w:pPr>
      <w:r>
        <w:rPr>
          <w:sz w:val="28"/>
        </w:rPr>
        <w:t>14. Иные вопросы назначения и проведения опроса, не урегулированные настоящим Законом, определяются нормативным правовым актом представительного органа муниципального образования.</w:t>
      </w:r>
    </w:p>
    <w:p w:rsidR="001F616B" w:rsidRDefault="001F616B">
      <w:pPr>
        <w:tabs>
          <w:tab w:val="left" w:pos="680"/>
          <w:tab w:val="left" w:pos="1020"/>
        </w:tabs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</w:pPr>
            <w:r>
              <w:rPr>
                <w:b/>
                <w:sz w:val="28"/>
              </w:rPr>
              <w:t>Статья 5.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Финансирование </w:t>
            </w:r>
            <w:r>
              <w:rPr>
                <w:b/>
                <w:sz w:val="28"/>
              </w:rPr>
              <w:t>мероприятий, связанных с подготовкой и проведением опроса</w:t>
            </w:r>
          </w:p>
        </w:tc>
      </w:tr>
    </w:tbl>
    <w:p w:rsidR="001F616B" w:rsidRDefault="001F616B">
      <w:pPr>
        <w:ind w:firstLine="540"/>
        <w:jc w:val="both"/>
        <w:outlineLvl w:val="0"/>
        <w:rPr>
          <w:b/>
          <w:sz w:val="28"/>
        </w:rPr>
      </w:pPr>
    </w:p>
    <w:p w:rsidR="001F616B" w:rsidRDefault="0079325E">
      <w:pPr>
        <w:jc w:val="both"/>
      </w:pPr>
      <w:r>
        <w:rPr>
          <w:rFonts w:ascii="Arial" w:hAnsi="Arial"/>
          <w:b/>
          <w:sz w:val="28"/>
        </w:rPr>
        <w:tab/>
      </w:r>
      <w:r>
        <w:rPr>
          <w:sz w:val="28"/>
        </w:rPr>
        <w:t>1. Финансирование мероприятий, связанных с подготовкой и проведением опроса, проводимого по инициативе органов местного самоуправления или жителей муниципального образования, осуществляется за сч</w:t>
      </w:r>
      <w:r>
        <w:rPr>
          <w:sz w:val="28"/>
        </w:rPr>
        <w:t>ет средств местного бюджета.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2. В случае проведения опроса по инициативе органов государственной власти Чукотского автономного округа финансирование мероприятий, связанных с подготовкой и проведением опроса, осуществляется за счет средств окружного бюджет</w:t>
      </w:r>
      <w:r>
        <w:rPr>
          <w:sz w:val="28"/>
        </w:rPr>
        <w:t>а в пределах бюджетных ассигнований, утвержденных законом Чукотского автономного округа об окружном бюджете на соответствующий финансовый год и плановый период.</w:t>
      </w:r>
    </w:p>
    <w:p w:rsidR="001F616B" w:rsidRDefault="001F616B">
      <w:pPr>
        <w:jc w:val="both"/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2.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назначения и проведения публичных                 слушаний в муниципальных об</w:t>
            </w:r>
            <w:r>
              <w:rPr>
                <w:b/>
                <w:sz w:val="28"/>
              </w:rPr>
              <w:t>разованиях</w:t>
            </w:r>
          </w:p>
        </w:tc>
      </w:tr>
    </w:tbl>
    <w:p w:rsidR="001F616B" w:rsidRDefault="001F616B"/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rPr>
          <w:trHeight w:val="4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6.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Общие положения</w:t>
            </w:r>
          </w:p>
        </w:tc>
      </w:tr>
    </w:tbl>
    <w:p w:rsidR="001F616B" w:rsidRDefault="0079325E">
      <w:pPr>
        <w:jc w:val="both"/>
        <w:rPr>
          <w:sz w:val="28"/>
        </w:rPr>
      </w:pPr>
      <w:r>
        <w:rPr>
          <w:sz w:val="28"/>
        </w:rPr>
        <w:tab/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1.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</w:t>
      </w:r>
      <w:r>
        <w:rPr>
          <w:sz w:val="28"/>
        </w:rPr>
        <w:t>непосредственного обеспечения жизнедеятельности населения.</w:t>
      </w:r>
    </w:p>
    <w:p w:rsidR="001F616B" w:rsidRDefault="0079325E">
      <w:pPr>
        <w:jc w:val="both"/>
      </w:pPr>
      <w:r>
        <w:rPr>
          <w:sz w:val="28"/>
        </w:rPr>
        <w:t> </w:t>
      </w:r>
      <w:r>
        <w:rPr>
          <w:sz w:val="28"/>
        </w:rPr>
        <w:tab/>
        <w:t xml:space="preserve">2. Порядок назначения и проведения публичных слушаний определяется нормативным правовым актом представительного органа муниципального образования в соответствии с Федеральным </w:t>
      </w:r>
      <w:hyperlink r:id="rId11" w:history="1">
        <w:r>
          <w:rPr>
            <w:rStyle w:val="af5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«Об общих принципах организации местного самоуправления в единой системе публичной власти» и настоящим Законом (далее в настоящей главе - нормативный правовой акт представительного органа). </w:t>
      </w:r>
    </w:p>
    <w:p w:rsidR="001F616B" w:rsidRDefault="0079325E">
      <w:pPr>
        <w:jc w:val="both"/>
      </w:pPr>
      <w:r>
        <w:rPr>
          <w:sz w:val="28"/>
        </w:rPr>
        <w:tab/>
        <w:t>3. Организационное, информационное, документационное и техничес</w:t>
      </w:r>
      <w:r>
        <w:rPr>
          <w:sz w:val="28"/>
        </w:rPr>
        <w:t>кое обеспечение организации и проведения публичных слушаний осуществляет орган местного самоуправления, принявший решение о назначении публичных слушаний.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 xml:space="preserve">  </w:t>
      </w: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7.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назначения публичных слушаний</w:t>
            </w:r>
          </w:p>
        </w:tc>
      </w:tr>
    </w:tbl>
    <w:p w:rsidR="001F616B" w:rsidRDefault="001F616B">
      <w:pPr>
        <w:ind w:firstLine="540"/>
        <w:jc w:val="both"/>
        <w:outlineLvl w:val="0"/>
        <w:rPr>
          <w:b/>
          <w:sz w:val="28"/>
        </w:rPr>
      </w:pP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1. Публичные слушания проводятся по инициативе: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1) представительного органа муниципального образования;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2) главы муниципального образования;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3) главы местной администрации;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4) жителей муниципального образования. </w:t>
      </w:r>
    </w:p>
    <w:p w:rsidR="001F616B" w:rsidRDefault="0079325E">
      <w:pPr>
        <w:jc w:val="both"/>
      </w:pPr>
      <w:r>
        <w:rPr>
          <w:sz w:val="28"/>
        </w:rPr>
        <w:tab/>
        <w:t>2. Публичные слушания, проводимые по инициативе жителей муниципального образования</w:t>
      </w:r>
      <w:r>
        <w:rPr>
          <w:sz w:val="28"/>
        </w:rPr>
        <w:t xml:space="preserve"> или представительного органа муниципального образования, назначаются представительным органом муниципального образования, а публичные слушания, проводимые по инициативе главы муниципального образования или главы местной администрации, - главой </w:t>
      </w:r>
      <w:r>
        <w:rPr>
          <w:sz w:val="28"/>
        </w:rPr>
        <w:t>муниципальн</w:t>
      </w:r>
      <w:r>
        <w:rPr>
          <w:sz w:val="28"/>
        </w:rPr>
        <w:t>ого образования.</w:t>
      </w:r>
    </w:p>
    <w:p w:rsidR="001F616B" w:rsidRDefault="0079325E">
      <w:pPr>
        <w:spacing w:line="240" w:lineRule="atLeast"/>
        <w:ind w:firstLine="709"/>
        <w:jc w:val="both"/>
        <w:rPr>
          <w:b/>
          <w:strike/>
          <w:sz w:val="28"/>
        </w:rPr>
      </w:pPr>
      <w:r>
        <w:rPr>
          <w:sz w:val="28"/>
        </w:rPr>
        <w:t>3. С инициативой проведения публичных слушаний вправе выступить инициативная группа жителей муниципального образования (далее - инициативная группа жителей) в количестве не менее 10 человек, обладающих избирательным правом.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4. Решение об и</w:t>
      </w:r>
      <w:r>
        <w:rPr>
          <w:sz w:val="28"/>
        </w:rPr>
        <w:t>нициировании проведения публичных слушаний принимается на собрании инициативной группы жителей и оформляется протоколом, который содержит: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1) решение о формировании инициативной группы жителей и количество членов инициативной группы жителей;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2) список член</w:t>
      </w:r>
      <w:r>
        <w:rPr>
          <w:sz w:val="28"/>
        </w:rPr>
        <w:t>ов инициативной группы жителей с указанием фамилии, имени, отчества, даты рождения, адреса места регистрации каждого члена инициативной группы жителей, подготовленный с учетом требований, предъявляемых к предоставлению, передаче и распространению информаци</w:t>
      </w:r>
      <w:r>
        <w:rPr>
          <w:sz w:val="28"/>
        </w:rPr>
        <w:t>и, содержащей персональные данные, установленных федеральным законодательством;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3) наименование проекта муниципального правового акта, предлагаемого для вынесения на публичные слушания, или вопросы о преобразовании муниципального образования;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4) фамилия, и</w:t>
      </w:r>
      <w:r>
        <w:rPr>
          <w:sz w:val="28"/>
        </w:rPr>
        <w:t>мя, отчество уполномоченного представителя, избранного из состава инициативной группы жителей (далее - уполномоченный представитель), с правом подписания и подачи заявления с предложением о проведении публичных слушаний;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5) подписи всех членов инициативной</w:t>
      </w:r>
      <w:r>
        <w:rPr>
          <w:sz w:val="28"/>
        </w:rPr>
        <w:t xml:space="preserve"> группы жителей.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5. Для назначения публичных слушаний, проводимых по инициативе жителей муниципального образования, уполномоченный представитель направляет в представительный орган муниципального образования заявление с предложением о проведении публичных </w:t>
      </w:r>
      <w:r>
        <w:rPr>
          <w:sz w:val="28"/>
        </w:rPr>
        <w:t>слушаний, в котором указываются: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1) наименование проекта муниципального правового акта, предлагаемого для вынесения на публичные слушания, или вопросы о преобразовании муниципального образования;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2) фамилия, имя и отчество уполномоченного представителя, </w:t>
      </w:r>
      <w:r>
        <w:rPr>
          <w:sz w:val="28"/>
        </w:rPr>
        <w:t>его контактные данные - номер телефона, адрес электронной почты.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6. До направления в представительный орган муниципального образования заявления с предложением о проведении публичных слушаний инициативной группой жителей должны быть собраны подписи жителей</w:t>
      </w:r>
      <w:r>
        <w:rPr>
          <w:sz w:val="28"/>
        </w:rPr>
        <w:t xml:space="preserve"> муниципального образования, обладающих избирательным правом, в поддержку инициативы проведения публичных слушаний в количестве, установленной нормативным правовым актом представительного органа.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7. Подписи в поддержку проведения публичных слушаний должны </w:t>
      </w:r>
      <w:r>
        <w:rPr>
          <w:sz w:val="28"/>
        </w:rPr>
        <w:t>быть собраны в срок, не превышающий 30 дней со дня проведения собрания инициативной группы жителей, на котором были приняты решения об инициировании проведения публичных слушаний, о формировании инициативной группы жителей.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Подписи в поддержку проведения п</w:t>
      </w:r>
      <w:r>
        <w:rPr>
          <w:sz w:val="28"/>
        </w:rPr>
        <w:t>убличных слушаний собираются посредством внесения их в подписные листы. Подписной лист включает в себя фамилию, имя, отчество, дату рождения, адрес места жительства, серию, номер, дату выдачи паспорта или документа, заменяющего паспорт гражданина, и подпис</w:t>
      </w:r>
      <w:r>
        <w:rPr>
          <w:sz w:val="28"/>
        </w:rPr>
        <w:t>ь каждого жителя муниципального образования, выступившего в поддержку проведения публичных слушаний.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Инициативная группа жителей вправе привлекать иных жителей муниципального образования к сбору подписей. Расходы, связанные со сбором подписей, несет инициа</w:t>
      </w:r>
      <w:r>
        <w:rPr>
          <w:sz w:val="28"/>
        </w:rPr>
        <w:t>тивная группа жителей.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8. К заявлению с предложением о проведении публичных слушаний прилагаются: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1) проект муниципального правового акта, предлагаемый для вынесения на публичные слушания;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2) обоснование необходимости вынесения на публичные слушания проект</w:t>
      </w:r>
      <w:r>
        <w:rPr>
          <w:sz w:val="28"/>
        </w:rPr>
        <w:t>а муниципального правового акта или вопросов о преобразовании муниципального образования и обоснование общественной значимости муниципального правового акта;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3) протокол собрания инициативной группы жителей, на котором были приняты решения об инициировании</w:t>
      </w:r>
      <w:r>
        <w:rPr>
          <w:sz w:val="28"/>
        </w:rPr>
        <w:t xml:space="preserve"> проведения публичных слушаний, о формировании инициативной группы жителей;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4) подписные листы с подписями жителей муниципального образования в поддержку инициативы проведения публичных слушаний.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9. Представительный орган муниципального образования принима</w:t>
      </w:r>
      <w:r>
        <w:rPr>
          <w:sz w:val="28"/>
        </w:rPr>
        <w:t>ет решение об отказе в назначении публичных слушаний по инициативе жителей муниципального образования при наличии хотя бы одного из следующих оснований: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1) заявление с предложением о проведении публичных слушаний и (или) прилагаемые к нему документы оформл</w:t>
      </w:r>
      <w:r>
        <w:rPr>
          <w:sz w:val="28"/>
        </w:rPr>
        <w:t>ены с нарушением требований, установленных настоящей статьей;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2) предмет регулирования проекта муниципального правового акта, предлагаемого для обсуждения на публичных слушаниях, не относится к вопросам местного значения;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3) проект муниципального правового</w:t>
      </w:r>
      <w:r>
        <w:rPr>
          <w:sz w:val="28"/>
        </w:rPr>
        <w:t xml:space="preserve"> акта, вопросы о преобразовании муниципального образования, предлагаемые для обсуждения на публичных слушаниях, противоречат законодательству Российской Федерации.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 xml:space="preserve"> В решении о назначении публичных слушаний (далее - решение) указываются: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1) наименование</w:t>
      </w:r>
      <w:r>
        <w:rPr>
          <w:sz w:val="28"/>
        </w:rPr>
        <w:t xml:space="preserve"> и предмет регулирования муниципального правового акта или вопросы о преобразовании муниципального образования, выносимые на обсуждение;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2) дата (время) и место проведения публичных слушаний;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3) форма проведения очная или дистанционная, дистанционная посре</w:t>
      </w:r>
      <w:r>
        <w:rPr>
          <w:sz w:val="28"/>
        </w:rPr>
        <w:t>дством официального сайта органа местного самоуправления в информационно-телекоммуникационной сети «Интернет» (далее - сеть «Интернет»);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 xml:space="preserve">4) способ ознакомления с вынесенным на обсуждение проектом муниципального правового акта или вопроса о преобразовании </w:t>
      </w:r>
      <w:r w:rsidR="00182D8C">
        <w:rPr>
          <w:sz w:val="28"/>
        </w:rPr>
        <w:t xml:space="preserve">муниципального образования, </w:t>
      </w:r>
      <w:r>
        <w:rPr>
          <w:sz w:val="28"/>
        </w:rPr>
        <w:t>в том числе посредством официального сайта органа местного самоуправления в сети «Интернет»;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5) способ предоставления замечаний и предложений по вынесенному на обсуждение проекту муниципального правового акта или письменных мне</w:t>
      </w:r>
      <w:r>
        <w:rPr>
          <w:sz w:val="28"/>
        </w:rPr>
        <w:t>ний по вопросам о преобразовании муниципального образования, в том числе посредством официального сайта органа местного самоуправления в сети «Интернет»;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6) данные об органе местного самоуправления (его структурном</w:t>
      </w:r>
      <w:r>
        <w:rPr>
          <w:sz w:val="28"/>
        </w:rPr>
        <w:t xml:space="preserve"> подразделении или должностном лице) либо </w:t>
      </w:r>
      <w:r>
        <w:rPr>
          <w:sz w:val="28"/>
        </w:rPr>
        <w:t>созданном органом местного самоуправления коллегиальном совещательном органе, уполномоченных на подготовку и проведение публичных слушаний, включая контактный телефон;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7) порядок определения результатов публичных слушаний;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8) иные сведения, предусмотренные</w:t>
      </w:r>
      <w:r>
        <w:rPr>
          <w:sz w:val="28"/>
        </w:rPr>
        <w:t xml:space="preserve"> нормативным правовым актом представительного органа.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 xml:space="preserve">11. Решение о назначении публичных слушаний или об отказе в назначении публичных слушаний должно быть принято представительным органом муниципального образования или главой муниципального образования в </w:t>
      </w:r>
      <w:r>
        <w:rPr>
          <w:sz w:val="28"/>
        </w:rPr>
        <w:t>течение 10 дней с момента поступления инициативы проведения публичных слушаний.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12. Решение о назначении публичных слушаний подлежит официальному опубликованию в порядке, установленном для опубликования нормативных правовых актов, и размещается на официаль</w:t>
      </w:r>
      <w:r>
        <w:rPr>
          <w:sz w:val="28"/>
        </w:rPr>
        <w:t>ном сайте органа местного самоуправления в сети «Интернет».</w:t>
      </w:r>
    </w:p>
    <w:p w:rsidR="001F616B" w:rsidRDefault="0079325E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В случае, если на публичные слушания выносится проект муниципального правового акта, орган местного самоуправления, принявший решение о назначении публичных слушаний, обеспечивает официальное опуб</w:t>
      </w:r>
      <w:r>
        <w:rPr>
          <w:sz w:val="28"/>
        </w:rPr>
        <w:t>ликование указанного проекта и размещает его на своем официальном сайте в сети «Интернет» в срок, предусматривающий заблаговременное ознакомление с ним жителей муниципального образования.</w:t>
      </w:r>
    </w:p>
    <w:p w:rsidR="001F616B" w:rsidRDefault="0079325E">
      <w:pPr>
        <w:spacing w:line="2" w:lineRule="atLeast"/>
        <w:ind w:firstLine="709"/>
        <w:jc w:val="both"/>
        <w:rPr>
          <w:sz w:val="28"/>
        </w:rPr>
      </w:pPr>
      <w:r>
        <w:rPr>
          <w:sz w:val="28"/>
        </w:rPr>
        <w:t>13 Иные вопросы назначен</w:t>
      </w:r>
      <w:r>
        <w:rPr>
          <w:sz w:val="28"/>
        </w:rPr>
        <w:t xml:space="preserve">ия публичных слушаний, </w:t>
      </w:r>
      <w:r>
        <w:rPr>
          <w:sz w:val="28"/>
        </w:rPr>
        <w:t xml:space="preserve">не урегулированные </w:t>
      </w:r>
      <w:r>
        <w:rPr>
          <w:sz w:val="28"/>
        </w:rPr>
        <w:t>настоящим Законом, определяются нормативным правовым актом представительного органа муниципального образования.</w:t>
      </w:r>
    </w:p>
    <w:p w:rsidR="001F616B" w:rsidRDefault="0079325E">
      <w:pPr>
        <w:jc w:val="both"/>
      </w:pPr>
      <w:r>
        <w:rPr>
          <w:sz w:val="28"/>
        </w:rPr>
        <w:tab/>
      </w: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1F616B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8.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проведения публичных слушаний</w:t>
            </w:r>
          </w:p>
        </w:tc>
      </w:tr>
    </w:tbl>
    <w:p w:rsidR="001F616B" w:rsidRDefault="0079325E">
      <w:pPr>
        <w:jc w:val="both"/>
      </w:pPr>
      <w:r>
        <w:rPr>
          <w:sz w:val="28"/>
        </w:rPr>
        <w:tab/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 xml:space="preserve">1. Организационное, информационное, документационное и техническое обеспечение организации </w:t>
      </w:r>
      <w:r>
        <w:rPr>
          <w:sz w:val="28"/>
        </w:rPr>
        <w:t>и проведения публичных слушаний осуществляет орган местного самоуправления, принявший решение о назначении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2. В соответствии с нормативным правовым актом представительного органа муниципального образования публичные слушания могут прово</w:t>
      </w:r>
      <w:r>
        <w:rPr>
          <w:sz w:val="28"/>
        </w:rPr>
        <w:t>диться в очной форме путем проведения собрания жителей муниципального образования - участников публичных слушаний и (или) в дистанционной форме с использованием официального сайта органа местного самоуправления в сети «Интернет», в том числе с использовани</w:t>
      </w:r>
      <w:r>
        <w:rPr>
          <w:sz w:val="28"/>
        </w:rPr>
        <w:t>ем федеральной государственной информационной системы «Единый портал государственных и муниципальных услуг (функций)».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Место проведения публичных слушаний в очной форме должно быть определено с учетом предполагаемого количества участников публичных слушани</w:t>
      </w:r>
      <w:r>
        <w:rPr>
          <w:sz w:val="28"/>
        </w:rPr>
        <w:t>й, возможности свободного доступа для жителей муниципального образования.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3. В целях организации проведения публичных слушаний формируется организационный комитет, в состав которого входят представители инициатора (инициаторов) проведения публичных слушани</w:t>
      </w:r>
      <w:r>
        <w:rPr>
          <w:sz w:val="28"/>
        </w:rPr>
        <w:t>й, представительного органа муниципального образования, местной администрации. В соответствии с нормативным правовым актом представительного органа муниципального образования в состав организационного комитета могут включаться иные лица.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Порядок работы орг</w:t>
      </w:r>
      <w:r>
        <w:rPr>
          <w:sz w:val="28"/>
        </w:rPr>
        <w:t>анизационного комитета определяется нормативным правовым актом представительного органа муниципального образования.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4. Организационный комитет: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1) определяет перечень лиц, приглашаемых на публичные слушания, и организует их приглашение;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2) устанавливает ре</w:t>
      </w:r>
      <w:r>
        <w:rPr>
          <w:sz w:val="28"/>
        </w:rPr>
        <w:t>гламент публичных слушаний;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3) осуществляет учет и рассмотрение предложений и замечаний по вынесенному на обсуждение проекту муниципального правового акта, письменных мнений по вопросам о преобразовании муниципального образования, организует подготовку зак</w:t>
      </w:r>
      <w:r>
        <w:rPr>
          <w:sz w:val="28"/>
        </w:rPr>
        <w:t>лючений экспертов по указанным предложениям, замечаниям и письменным мнениям и осуществляет анализ таких заключений;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4) назначает председательствующего на публичных слушаниях, президиум публичных слушаний, секретариат публичных слушаний;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 xml:space="preserve">5) определяет </w:t>
      </w:r>
      <w:r>
        <w:rPr>
          <w:sz w:val="28"/>
        </w:rPr>
        <w:t>список докладчиков и выступающих, устанавливает порядок докладов и выступлений на публичных слушаниях;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6) оформляет протокол публичных слушаний;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7) формирует итоговый документ публичных слушаний и направляет его в орган местного самоуправления, принявший р</w:t>
      </w:r>
      <w:r>
        <w:rPr>
          <w:sz w:val="28"/>
        </w:rPr>
        <w:t>ешение о назначении публичных слушаний;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8) осуществляет иные полномочия, предусмотренные нормативным правовым актом представительного органа муниципального образования.</w:t>
      </w:r>
    </w:p>
    <w:p w:rsidR="001F616B" w:rsidRDefault="00182D8C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79325E">
        <w:rPr>
          <w:sz w:val="28"/>
        </w:rPr>
        <w:t>Перед началом публичных слушаний проводится регистрация участников публичных слушан</w:t>
      </w:r>
      <w:r w:rsidR="0079325E">
        <w:rPr>
          <w:sz w:val="28"/>
        </w:rPr>
        <w:t>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6. На публичных слушаниях ведется протокол публичных слушаний, который содержит обобщенную информацию о ходе проведения публичных слушаний, поступивших предложениях и замечаниях по вынесенному на обсуждение проекту муниципального правового акта, письме</w:t>
      </w:r>
      <w:r>
        <w:rPr>
          <w:sz w:val="28"/>
        </w:rPr>
        <w:t>нных мнениях по вопросам о преобразовании муниципального образования.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Протокол публичных слушаний оформляется не позднее трех рабочих дней, следующих за днем проведения публичных слушаний, в двух экземплярах и подписывается председательствующим на публичны</w:t>
      </w:r>
      <w:r>
        <w:rPr>
          <w:sz w:val="28"/>
        </w:rPr>
        <w:t>х слушаниях и членами секретариата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7. Организационный комитет оформляет результаты публичных слушаний в итоговый документ публичных слушаний, который подписывается председателем организационного комитета не позднее семи рабочих дней, сл</w:t>
      </w:r>
      <w:r>
        <w:rPr>
          <w:sz w:val="28"/>
        </w:rPr>
        <w:t>едующих за днем проведения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8. В итоговом документе публичных слушаний должны быть указаны: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1) сведения о рекомендованных к учету либо отклоненных предложениях и замечаниях по вынесенному на обсуждение проекту муниципального правового ак</w:t>
      </w:r>
      <w:r>
        <w:rPr>
          <w:sz w:val="28"/>
        </w:rPr>
        <w:t>та с обоснованием соответствующих решений;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2) анализ письменных мнений по вопросам преобразования муниципального образования, выводы, содержащиеся в заключениях экспертов (при наличии таких заключений);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3) иная информация, предусмотренная нормативным право</w:t>
      </w:r>
      <w:r>
        <w:rPr>
          <w:sz w:val="28"/>
        </w:rPr>
        <w:t>вым актом представительного органа муниципального образования.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9. Организационный комитет передает итоговый документ публичных слушаний, протокол публичных слушаний, иные документы, связанные с организацией и проведением публичных слушаний, органу местного</w:t>
      </w:r>
      <w:r>
        <w:rPr>
          <w:sz w:val="28"/>
        </w:rPr>
        <w:t xml:space="preserve"> самоуправления, принявшему решение о назначении публичных слушаний, не позднее семи рабочих дней, следующих за днем проведения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10. Полномочия организационного комитета прекращаются на следующий день после дня передачи итогового докумен</w:t>
      </w:r>
      <w:r>
        <w:rPr>
          <w:sz w:val="28"/>
        </w:rPr>
        <w:t>та публичных слушаний в орган местного самоуправления, принявший решение о назначении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11. Итоговый документ публичных слушаний подлежит обнародованию органом местного самоуправления, принявшим решение о назначении публичных слушаний, не</w:t>
      </w:r>
      <w:r>
        <w:rPr>
          <w:sz w:val="28"/>
        </w:rPr>
        <w:t xml:space="preserve"> позднее 10 рабочих дней, следующих за днем проведения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Представительный орган местного самоуправления, принявший решение о назначении публичных слушаний по инициативе жителей муниципального образования, направляет копию итогового докуме</w:t>
      </w:r>
      <w:r>
        <w:rPr>
          <w:sz w:val="28"/>
        </w:rPr>
        <w:t>нта публичных слушаний уполномоченному представителю не позднее 10 рабочих дней, следующих за днем проведения публичных слушаний.</w:t>
      </w:r>
    </w:p>
    <w:p w:rsidR="001F616B" w:rsidRDefault="0079325E">
      <w:pPr>
        <w:ind w:firstLine="709"/>
        <w:jc w:val="both"/>
        <w:rPr>
          <w:sz w:val="28"/>
        </w:rPr>
      </w:pPr>
      <w:r>
        <w:rPr>
          <w:sz w:val="28"/>
        </w:rPr>
        <w:t>12. Особенности проведения публичных слушаний в случае вынесения на обсуждение проекта устава муниципального образования, прое</w:t>
      </w:r>
      <w:r>
        <w:rPr>
          <w:sz w:val="28"/>
        </w:rPr>
        <w:t>кта муниципального нормативного правового акта о внесении изменений и дополнений в устав муниципального образования, а также проекта местного бюджета и отчета об исполнении местного бюджета, иные вопросы назначения и проведения публичных слушаний, не урегу</w:t>
      </w:r>
      <w:r>
        <w:rPr>
          <w:sz w:val="28"/>
        </w:rPr>
        <w:t>лированные настоящим Законом, определяются нормативным правовым актом представительного органа муниципального образования.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80"/>
        <w:gridCol w:w="7597"/>
      </w:tblGrid>
      <w:tr w:rsidR="001F616B">
        <w:trPr>
          <w:trHeight w:val="4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регулировании отдельных вопросов на территории Чукотского автономного округа деятельности старосты сельского населенного </w:t>
            </w:r>
            <w:r>
              <w:rPr>
                <w:b/>
                <w:sz w:val="28"/>
              </w:rPr>
              <w:t>пункта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80"/>
        <w:gridCol w:w="7597"/>
      </w:tblGrid>
      <w:tr w:rsidR="001F616B">
        <w:trPr>
          <w:trHeight w:val="4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9.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Полномочия деятельности старосты сельского населенного пункта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p w:rsidR="001F616B" w:rsidRDefault="0079325E">
      <w:pPr>
        <w:pStyle w:val="a4"/>
        <w:jc w:val="both"/>
      </w:pPr>
      <w:r>
        <w:tab/>
        <w:t>1. Порядок назначения, основные полномочия старосты сельского населенного пункта, основания досрочного прекращения его полномочий установлены Федеральным законом</w:t>
      </w:r>
      <w:r>
        <w:rPr>
          <w:color w:val="0000FF"/>
        </w:rPr>
        <w:t xml:space="preserve"> </w:t>
      </w:r>
      <w:r>
        <w:t xml:space="preserve">«Об общих </w:t>
      </w:r>
      <w:r>
        <w:t>принципах организации местного самоуправления в единой системе публичной власти».</w:t>
      </w:r>
    </w:p>
    <w:p w:rsidR="001F616B" w:rsidRDefault="0079325E">
      <w:pPr>
        <w:pStyle w:val="a4"/>
        <w:jc w:val="both"/>
      </w:pPr>
      <w:r>
        <w:tab/>
        <w:t>2. Нормативным правовым актом представительного органа муниципального образования, в состав которого входит сельский населенный пункт (далее в настоящей главе соответственно</w:t>
      </w:r>
      <w:r>
        <w:t xml:space="preserve"> - нормативный правовой акт представительного органа, представительный орган муниципального образования), в соответствии с положениями настоящего Закона устанавливаются следующие полномочия старосты сельского населенного пункта:</w:t>
      </w:r>
    </w:p>
    <w:p w:rsidR="001F616B" w:rsidRDefault="0079325E">
      <w:pPr>
        <w:jc w:val="both"/>
      </w:pPr>
      <w:r>
        <w:rPr>
          <w:sz w:val="28"/>
        </w:rPr>
        <w:tab/>
      </w:r>
      <w:r>
        <w:rPr>
          <w:sz w:val="28"/>
        </w:rPr>
        <w:t xml:space="preserve">1) информирование о своей </w:t>
      </w:r>
      <w:r>
        <w:rPr>
          <w:sz w:val="28"/>
        </w:rPr>
        <w:t>деятельности жителей сельского населенного пункта;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2) представление отчета о своей деятельности на сходах, собраниях граждан сельского населенного пункта; </w:t>
      </w:r>
    </w:p>
    <w:p w:rsidR="001F616B" w:rsidRDefault="0079325E">
      <w:pPr>
        <w:jc w:val="both"/>
      </w:pPr>
      <w:r>
        <w:rPr>
          <w:sz w:val="28"/>
        </w:rPr>
        <w:tab/>
        <w:t>3) представление ежегодного отчета о своей деятельности в письменном виде в представительный орган</w:t>
      </w:r>
      <w:r>
        <w:rPr>
          <w:sz w:val="28"/>
        </w:rPr>
        <w:t xml:space="preserve"> муниципального образования. </w:t>
      </w:r>
    </w:p>
    <w:p w:rsidR="001F616B" w:rsidRDefault="0079325E">
      <w:pPr>
        <w:jc w:val="both"/>
      </w:pPr>
      <w:r>
        <w:rPr>
          <w:sz w:val="28"/>
        </w:rPr>
        <w:t xml:space="preserve"> </w:t>
      </w:r>
      <w:r>
        <w:rPr>
          <w:sz w:val="28"/>
        </w:rPr>
        <w:tab/>
        <w:t>3</w:t>
      </w:r>
      <w:r>
        <w:rPr>
          <w:sz w:val="28"/>
        </w:rPr>
        <w:t>. Нормативным правовым актом представительного органа в соответствии с положениями настоящего Закона могут устанавливаться следующие полномочия старосты сельского населенного пункта: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1) оказание помощи (организационной, ин</w:t>
      </w:r>
      <w:r>
        <w:rPr>
          <w:sz w:val="28"/>
        </w:rPr>
        <w:t xml:space="preserve">формационной) жителям сельского населенного пункта при их обращениях в органы местного самоуправления;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2) проведение личного приема жителей сельского населенного пункта в порядке, установленном нормативным правовым актом представительного органа, направл</w:t>
      </w:r>
      <w:r>
        <w:rPr>
          <w:sz w:val="28"/>
        </w:rPr>
        <w:t xml:space="preserve">ение по результатам личного приема обращений и предложений в органы местного самоуправления;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3) оказание уполномоченным органам в содействии первичных мер пожарной безопасности в границах сельского населенного пункта;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4) информирование органов местного </w:t>
      </w:r>
      <w:r>
        <w:rPr>
          <w:sz w:val="28"/>
        </w:rPr>
        <w:t>самоуправления о возникновении или угрозе возникновения на территории сельского населенного пункта чрезвычайных ситуаций природного или техногенного характера;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5) ходатайство перед о</w:t>
      </w:r>
      <w:r w:rsidR="00182D8C">
        <w:rPr>
          <w:sz w:val="28"/>
        </w:rPr>
        <w:t>рганами местного самоуправления</w:t>
      </w:r>
      <w:r>
        <w:rPr>
          <w:sz w:val="28"/>
        </w:rPr>
        <w:t xml:space="preserve"> о поощрении наиболее активных жителей се</w:t>
      </w:r>
      <w:r>
        <w:rPr>
          <w:sz w:val="28"/>
        </w:rPr>
        <w:t>льского населенного пункта в порядке, установленном муниципальными правовыми актами;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6) оказание содействия органам местного самоуправления в выявлении лиц, оказавшихся в трудной жизненной ситуации;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7) оказание содействия органам местного самоуправления </w:t>
      </w:r>
      <w:r>
        <w:rPr>
          <w:sz w:val="28"/>
        </w:rPr>
        <w:t>в выявлении семей, находящихся в социально опасном положении;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8) информирование органов местного самоуправления о состоянии дорог, уличного освещения, о нарушении требований содержания территорий общего пользования в сельском населенном пункте;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9) оказыв</w:t>
      </w:r>
      <w:r>
        <w:rPr>
          <w:sz w:val="28"/>
        </w:rPr>
        <w:t>ать содействие органам местного самоуправления в проведении в сельском населенном пункте патриотических, спортивных, праздничных и иных мероприятий;</w:t>
      </w:r>
    </w:p>
    <w:p w:rsidR="001F616B" w:rsidRDefault="0079325E">
      <w:pPr>
        <w:pStyle w:val="a4"/>
        <w:jc w:val="both"/>
      </w:pPr>
      <w:r>
        <w:tab/>
        <w:t>10) иные полномочия старосты сельского населенного пункта.</w:t>
      </w:r>
    </w:p>
    <w:p w:rsidR="001F616B" w:rsidRDefault="0079325E">
      <w:pPr>
        <w:pStyle w:val="a4"/>
        <w:jc w:val="both"/>
      </w:pPr>
      <w:r>
        <w:tab/>
        <w:t>4. Список назначенных старост сельских населен</w:t>
      </w:r>
      <w:r>
        <w:t>ных пунктов, внесенные в него изменения размещаются на официальном сайте муниципального образования в сети «Интернет» в порядке, предусмотренном правовым актом представительного органа.</w:t>
      </w:r>
    </w:p>
    <w:p w:rsidR="001F616B" w:rsidRDefault="001F616B">
      <w:pPr>
        <w:pStyle w:val="a4"/>
        <w:jc w:val="both"/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10.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Гарантии деятельности старосты сельского населенного пункт</w:t>
            </w:r>
            <w:r>
              <w:rPr>
                <w:b/>
                <w:sz w:val="28"/>
              </w:rPr>
              <w:t>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1. Нормативным правовым актом представительного органа в соответствии с положениями настоящего Закона могут устанавливаться следующие гарантии деятельности старосты сельского населенного пункта: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1) доступ к информации, необходимой для осуществления д</w:t>
      </w:r>
      <w:r>
        <w:rPr>
          <w:sz w:val="28"/>
        </w:rPr>
        <w:t>еятельности старосты сельского населенного пункта;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2) возмещение старосте сельского населенного пункта расходов на оплату услуг телефонной связи и иных расходов, связанных с осуществлением его деятельности;</w:t>
      </w:r>
    </w:p>
    <w:p w:rsidR="001F616B" w:rsidRDefault="0079325E">
      <w:pPr>
        <w:jc w:val="both"/>
      </w:pPr>
      <w:r>
        <w:rPr>
          <w:sz w:val="28"/>
        </w:rPr>
        <w:tab/>
        <w:t>3) выплата компенсации за использование личного</w:t>
      </w:r>
      <w:r>
        <w:rPr>
          <w:sz w:val="28"/>
        </w:rPr>
        <w:t xml:space="preserve"> транспорта для осуществления деятельности старосты сельского населенного пункта и возмещение расходов, связанных с его использованием для этих целей.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2. Нормативным правовым актом представительного </w:t>
      </w:r>
      <w:proofErr w:type="gramStart"/>
      <w:r>
        <w:rPr>
          <w:sz w:val="28"/>
        </w:rPr>
        <w:t>органа  за</w:t>
      </w:r>
      <w:proofErr w:type="gramEnd"/>
      <w:r>
        <w:rPr>
          <w:sz w:val="28"/>
        </w:rPr>
        <w:t xml:space="preserve"> счет средств местного бюджета могут устанавли</w:t>
      </w:r>
      <w:r>
        <w:rPr>
          <w:sz w:val="28"/>
        </w:rPr>
        <w:t>ваться иные гарантии деятельности старосты сельского населенного пункта, в том числе вопросы материально-технического и организационного обеспечения старосты.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3. Финансирование расходов, связанных с установлением гарантий, указанных в части 1 настоящей ст</w:t>
      </w:r>
      <w:r>
        <w:rPr>
          <w:sz w:val="28"/>
        </w:rPr>
        <w:t>атьи, и иных гарантий, установленных нормативным правовым актом представительного органа, осуществляется за счет средств местного бюджета.</w:t>
      </w:r>
    </w:p>
    <w:p w:rsidR="001F616B" w:rsidRDefault="0079325E">
      <w:pPr>
        <w:jc w:val="both"/>
      </w:pPr>
      <w:r>
        <w:rPr>
          <w:sz w:val="28"/>
        </w:rPr>
        <w:tab/>
        <w:t xml:space="preserve">4. Староста сельского населенного пункта имеет удостоверение, форма и описание которого устанавливаются нормативным </w:t>
      </w:r>
      <w:r>
        <w:rPr>
          <w:sz w:val="28"/>
        </w:rPr>
        <w:t>правовым актом представительного органа.</w:t>
      </w:r>
    </w:p>
    <w:p w:rsidR="001F616B" w:rsidRDefault="0079325E">
      <w:pPr>
        <w:rPr>
          <w:sz w:val="28"/>
        </w:rPr>
      </w:pPr>
      <w:r>
        <w:br w:type="page"/>
      </w: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11.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Основы организации деятельности старосты сельского населенного пункта</w:t>
            </w:r>
          </w:p>
          <w:p w:rsidR="001F616B" w:rsidRDefault="001F616B">
            <w:pPr>
              <w:pStyle w:val="a4"/>
              <w:jc w:val="both"/>
            </w:pPr>
          </w:p>
        </w:tc>
      </w:tr>
    </w:tbl>
    <w:p w:rsidR="001F616B" w:rsidRDefault="0079325E">
      <w:pPr>
        <w:jc w:val="both"/>
      </w:pPr>
      <w:r>
        <w:rPr>
          <w:sz w:val="28"/>
        </w:rPr>
        <w:tab/>
      </w:r>
      <w:r>
        <w:rPr>
          <w:sz w:val="28"/>
        </w:rPr>
        <w:t>1. Деятельность старосты сельского населенного пункта осуществляется на основе принципов законности, добровольности, объективност</w:t>
      </w:r>
      <w:r>
        <w:rPr>
          <w:sz w:val="28"/>
        </w:rPr>
        <w:t>и, открытости и гласности.</w:t>
      </w:r>
    </w:p>
    <w:p w:rsidR="001F616B" w:rsidRDefault="0079325E">
      <w:pPr>
        <w:jc w:val="both"/>
      </w:pPr>
      <w:r>
        <w:rPr>
          <w:sz w:val="28"/>
        </w:rPr>
        <w:tab/>
        <w:t xml:space="preserve">2. Контроль за деятельностью старосты сельского населенного пункта осуществляется представительным органом муниципального образования. </w:t>
      </w:r>
    </w:p>
    <w:p w:rsidR="001F616B" w:rsidRDefault="0079325E">
      <w:pPr>
        <w:jc w:val="both"/>
      </w:pPr>
      <w:r>
        <w:rPr>
          <w:sz w:val="28"/>
        </w:rPr>
        <w:tab/>
        <w:t>Порядок и формы осуществления указанного контроля устанавливаются нормативным правовым акто</w:t>
      </w:r>
      <w:r>
        <w:rPr>
          <w:sz w:val="28"/>
        </w:rPr>
        <w:t xml:space="preserve">м представительного органа.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</w: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89"/>
        <w:gridCol w:w="7588"/>
      </w:tblGrid>
      <w:tr w:rsidR="001F616B">
        <w:trPr>
          <w:trHeight w:val="4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4.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</w:pPr>
            <w:r>
              <w:rPr>
                <w:b/>
                <w:sz w:val="28"/>
              </w:rPr>
              <w:t>Отдельные вопросы непосредственного осуществления населением местного самоуправления и участия населения в осуществлении местного самоуправления на территории Чукотского автономного округа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12.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 xml:space="preserve">Сход граждан </w:t>
            </w:r>
            <w:r>
              <w:rPr>
                <w:b/>
              </w:rPr>
              <w:t>по вопросу введения и использования средств самообложения граждан на части территории населенного пункта</w:t>
            </w:r>
          </w:p>
        </w:tc>
      </w:tr>
    </w:tbl>
    <w:p w:rsidR="001F616B" w:rsidRDefault="0079325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1. На части территории населенного пункта, входящего в состав муниципального образования, может проводиться сход граждан по вопросу введения и испо</w:t>
      </w:r>
      <w:r>
        <w:rPr>
          <w:sz w:val="28"/>
        </w:rPr>
        <w:t>льзования средств самообложения граждан на данной части территории населенного пункта.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2. Граница части территории населенного пункта, входящего в состав муниципального образования, на которой может проводится сход граждан по вопросу введения и использова</w:t>
      </w:r>
      <w:r>
        <w:rPr>
          <w:sz w:val="28"/>
        </w:rPr>
        <w:t>ния средств самообложения граждан, устанавливается в соответствии со следующими критериями: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1) принадлежность части территории населенного пункта к общей обособленной территории проживания граждан (многоквартирный</w:t>
      </w:r>
      <w:r w:rsidR="00182D8C">
        <w:rPr>
          <w:sz w:val="28"/>
        </w:rPr>
        <w:t xml:space="preserve"> жилой дом, группа жилых домов,</w:t>
      </w:r>
      <w:r>
        <w:rPr>
          <w:sz w:val="28"/>
        </w:rPr>
        <w:t xml:space="preserve"> улица, ин</w:t>
      </w:r>
      <w:r>
        <w:rPr>
          <w:sz w:val="28"/>
        </w:rPr>
        <w:t>ые территории проживания граждан);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2) численность жителей части территории населенного пункта, обладающих избирательным правом, должна составлять не менее 10 человек.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13.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 xml:space="preserve">Особенности проведения собраний по вопросам выдвижения кандидатуры старосты </w:t>
            </w:r>
            <w:r>
              <w:rPr>
                <w:b/>
              </w:rPr>
              <w:t>сельского населенного пункта и досрочного прекращения его полномочий</w:t>
            </w:r>
          </w:p>
        </w:tc>
      </w:tr>
    </w:tbl>
    <w:p w:rsidR="001F616B" w:rsidRDefault="001F616B">
      <w:pPr>
        <w:pStyle w:val="a4"/>
        <w:spacing w:line="285" w:lineRule="atLeast"/>
        <w:ind w:firstLine="540"/>
        <w:jc w:val="both"/>
      </w:pPr>
    </w:p>
    <w:p w:rsidR="001F616B" w:rsidRDefault="0079325E">
      <w:pPr>
        <w:pStyle w:val="a4"/>
        <w:spacing w:line="285" w:lineRule="atLeast"/>
        <w:ind w:firstLine="540"/>
        <w:jc w:val="both"/>
      </w:pPr>
      <w:r>
        <w:t>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</w:t>
      </w:r>
      <w:r>
        <w:t>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</w:t>
      </w:r>
      <w:r>
        <w:t>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 нормативным правовым актом.</w:t>
      </w:r>
    </w:p>
    <w:p w:rsidR="001F616B" w:rsidRDefault="001F616B">
      <w:pPr>
        <w:pStyle w:val="a4"/>
        <w:spacing w:line="285" w:lineRule="atLeast"/>
        <w:ind w:firstLine="540"/>
        <w:jc w:val="both"/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14.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Порядок пред</w:t>
            </w:r>
            <w:r>
              <w:rPr>
                <w:b/>
              </w:rPr>
              <w:t>оставления поддержки территориальному общественному самоуправлению за счет бюджетных ассигнований окружного бюджета и местных бюджетов</w:t>
            </w:r>
          </w:p>
          <w:p w:rsidR="001F616B" w:rsidRDefault="001F616B">
            <w:pPr>
              <w:pStyle w:val="a4"/>
              <w:jc w:val="both"/>
            </w:pPr>
          </w:p>
        </w:tc>
      </w:tr>
    </w:tbl>
    <w:p w:rsidR="001F616B" w:rsidRDefault="0079325E">
      <w:pPr>
        <w:jc w:val="both"/>
      </w:pPr>
      <w:r>
        <w:rPr>
          <w:sz w:val="28"/>
        </w:rPr>
        <w:tab/>
        <w:t>1. Территориальному общественному самоуправлению, в том числе осуществляющему свою деятельность без регистрации в каче</w:t>
      </w:r>
      <w:r>
        <w:rPr>
          <w:sz w:val="28"/>
        </w:rPr>
        <w:t>стве юридического лица, может быть предоставлена поддержка за счет бюджетных ассигнований окружного бюджета и местных бюджетов, которая осуществляется в следующих формах: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1) информационная поддержка;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2) консультационная поддержка;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3) иные формы поддер</w:t>
      </w:r>
      <w:r>
        <w:rPr>
          <w:sz w:val="28"/>
        </w:rPr>
        <w:t xml:space="preserve">жки, предусмотренные правовым актом представительного органа муниципального образования. </w:t>
      </w:r>
    </w:p>
    <w:p w:rsidR="001F616B" w:rsidRDefault="0079325E">
      <w:pPr>
        <w:jc w:val="both"/>
      </w:pPr>
      <w:r>
        <w:rPr>
          <w:sz w:val="28"/>
        </w:rPr>
        <w:tab/>
      </w:r>
      <w:r>
        <w:rPr>
          <w:sz w:val="28"/>
        </w:rPr>
        <w:t xml:space="preserve">2. Информационная поддержка территориального общественного самоуправления осуществляется посредством: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1) сбора, обобщения и распространения информации об эффективн</w:t>
      </w:r>
      <w:r>
        <w:rPr>
          <w:sz w:val="28"/>
        </w:rPr>
        <w:t xml:space="preserve">ой организации деятельности территориального общественного самоуправления; 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2) предоставления территориальному общественному самоуправлению возможности размещения информации о своей деятельности на официальном сайте органа местного самоуправления в сети «</w:t>
      </w:r>
      <w:r>
        <w:rPr>
          <w:sz w:val="28"/>
        </w:rPr>
        <w:t>Интернет»;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>3) иные формы поддержки, предусмотренные правовым актом представительного органа муниципального образования.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3. Консультационная поддержка территориального общественного самоуправления осуществляется путем проведения консультаций с руководителями территориального общественного самоуправления по вопросам взаимодействия с органами государственной власти Чукотского </w:t>
      </w:r>
      <w:r>
        <w:rPr>
          <w:sz w:val="28"/>
        </w:rPr>
        <w:t xml:space="preserve">автономного округа и органами местного самоуправления, по вопросам организации и осуществления территориального общественного самоуправления. 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5.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Заключительные положения</w:t>
            </w:r>
          </w:p>
        </w:tc>
      </w:tr>
    </w:tbl>
    <w:p w:rsidR="001F616B" w:rsidRDefault="001F616B">
      <w:pPr>
        <w:spacing w:before="165" w:line="285" w:lineRule="atLeast"/>
        <w:ind w:firstLine="540"/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97"/>
        <w:gridCol w:w="7480"/>
      </w:tblGrid>
      <w:tr w:rsidR="001F616B">
        <w:trPr>
          <w:trHeight w:val="40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15.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Заключительные положения</w:t>
            </w:r>
          </w:p>
        </w:tc>
      </w:tr>
    </w:tbl>
    <w:p w:rsidR="001F616B" w:rsidRDefault="0079325E">
      <w:pPr>
        <w:jc w:val="both"/>
        <w:rPr>
          <w:sz w:val="28"/>
        </w:rPr>
      </w:pPr>
      <w:r>
        <w:rPr>
          <w:sz w:val="28"/>
        </w:rPr>
        <w:tab/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1. Муниципальные нормативные </w:t>
      </w:r>
      <w:r>
        <w:rPr>
          <w:sz w:val="28"/>
        </w:rPr>
        <w:t>правовые акты, устанавливающие порядок назначения и проведение опроса граждан, подлежат приведению в соответствие с настоящим Законом не позднее 1 января 2027 года. До их приведения в соответствие с настоящим Законом они применяются к соответствующим отнош</w:t>
      </w:r>
      <w:r>
        <w:rPr>
          <w:sz w:val="28"/>
        </w:rPr>
        <w:t xml:space="preserve">ениям в части, не противоречащей Федеральному </w:t>
      </w:r>
      <w:r w:rsidR="00182D8C">
        <w:rPr>
          <w:sz w:val="28"/>
        </w:rPr>
        <w:t xml:space="preserve">закону </w:t>
      </w:r>
      <w:r>
        <w:rPr>
          <w:sz w:val="28"/>
        </w:rPr>
        <w:t>«Об общих принципах организации местного самоуправления в единой системе публичной власти».</w:t>
      </w:r>
    </w:p>
    <w:p w:rsidR="001F616B" w:rsidRDefault="00182D8C">
      <w:pPr>
        <w:jc w:val="both"/>
        <w:rPr>
          <w:sz w:val="28"/>
        </w:rPr>
      </w:pPr>
      <w:r>
        <w:rPr>
          <w:sz w:val="28"/>
        </w:rPr>
        <w:tab/>
        <w:t xml:space="preserve">2. Муниципальные </w:t>
      </w:r>
      <w:r w:rsidR="0079325E">
        <w:rPr>
          <w:sz w:val="28"/>
        </w:rPr>
        <w:t>нормативные правовые акты, устанавливающие порядок назначения и проведение публичных слушан</w:t>
      </w:r>
      <w:r w:rsidR="0079325E">
        <w:rPr>
          <w:sz w:val="28"/>
        </w:rPr>
        <w:t>ий, подлежат приведению в соответствие с настоящим Законом не позднее 1 января 2027 года. До их приведения в соответствие с настоящим Законом они применяются к соответствующим отношениям в части, не противоречащей Федеральному закону «Об общих принципах ор</w:t>
      </w:r>
      <w:r w:rsidR="0079325E">
        <w:rPr>
          <w:sz w:val="28"/>
        </w:rPr>
        <w:t>ганизации местного самоуправления в единой системе публичной власти».</w:t>
      </w:r>
    </w:p>
    <w:p w:rsidR="001F616B" w:rsidRDefault="001F616B">
      <w:pPr>
        <w:jc w:val="both"/>
        <w:rPr>
          <w:sz w:val="28"/>
        </w:rPr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rPr>
          <w:trHeight w:val="4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16.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Признание утратившим силу законодательного акта Чукотского автономного округа</w:t>
            </w:r>
          </w:p>
        </w:tc>
      </w:tr>
    </w:tbl>
    <w:p w:rsidR="001F616B" w:rsidRDefault="001F616B">
      <w:pPr>
        <w:jc w:val="both"/>
        <w:rPr>
          <w:sz w:val="28"/>
        </w:rPr>
      </w:pPr>
    </w:p>
    <w:p w:rsidR="001F616B" w:rsidRDefault="0079325E">
      <w:pPr>
        <w:jc w:val="both"/>
        <w:rPr>
          <w:sz w:val="28"/>
        </w:rPr>
      </w:pPr>
      <w:r>
        <w:rPr>
          <w:sz w:val="28"/>
        </w:rPr>
        <w:tab/>
        <w:t xml:space="preserve">Признать утратившим силу Закон Чукотского автономного округа                  </w:t>
      </w:r>
      <w:r>
        <w:rPr>
          <w:sz w:val="28"/>
        </w:rPr>
        <w:t>от 21 августа 2</w:t>
      </w:r>
      <w:r>
        <w:rPr>
          <w:sz w:val="28"/>
        </w:rPr>
        <w:t>018 года № 51-ОЗ «О регулировании отдельных вопросов, связанных с деятельностью старосты сельского населенного пункта при осуществлении местного самоуправления на территории Чукотского автономного округа» («Ведомости»</w:t>
      </w:r>
      <w:r>
        <w:rPr>
          <w:b/>
          <w:sz w:val="28"/>
        </w:rPr>
        <w:t xml:space="preserve"> </w:t>
      </w:r>
      <w:r>
        <w:rPr>
          <w:sz w:val="28"/>
        </w:rPr>
        <w:t>№ 33</w:t>
      </w:r>
      <w:r w:rsidR="004A7C86">
        <w:rPr>
          <w:sz w:val="28"/>
        </w:rPr>
        <w:t xml:space="preserve"> (872) - приложение к газете </w:t>
      </w:r>
      <w:r>
        <w:rPr>
          <w:sz w:val="28"/>
        </w:rPr>
        <w:t>«Крайний Север» № 33 (2148) от 24.08.2018 г.).</w:t>
      </w:r>
    </w:p>
    <w:p w:rsidR="001F616B" w:rsidRDefault="001F616B">
      <w:pPr>
        <w:jc w:val="both"/>
      </w:pPr>
    </w:p>
    <w:tbl>
      <w:tblPr>
        <w:tblStyle w:val="aff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1F616B"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17.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6B" w:rsidRDefault="0079325E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Вступление в силу настоящего Закона</w:t>
            </w:r>
          </w:p>
        </w:tc>
      </w:tr>
    </w:tbl>
    <w:p w:rsidR="001F616B" w:rsidRDefault="001F616B">
      <w:pPr>
        <w:pStyle w:val="a4"/>
        <w:jc w:val="both"/>
      </w:pPr>
    </w:p>
    <w:p w:rsidR="001F616B" w:rsidRDefault="0079325E">
      <w:pPr>
        <w:pStyle w:val="a4"/>
        <w:jc w:val="both"/>
      </w:pPr>
      <w:r>
        <w:tab/>
        <w:t>Настоящий Закон вступает в силу по истечении 10 дней после дня его официального опубликования.</w:t>
      </w:r>
    </w:p>
    <w:p w:rsidR="001F616B" w:rsidRDefault="001F616B">
      <w:pPr>
        <w:jc w:val="both"/>
        <w:rPr>
          <w:sz w:val="28"/>
        </w:rPr>
      </w:pPr>
    </w:p>
    <w:p w:rsidR="001F616B" w:rsidRDefault="001F616B">
      <w:pPr>
        <w:jc w:val="both"/>
        <w:rPr>
          <w:sz w:val="28"/>
        </w:rPr>
      </w:pPr>
    </w:p>
    <w:p w:rsidR="001F616B" w:rsidRDefault="001F616B">
      <w:pPr>
        <w:jc w:val="both"/>
        <w:rPr>
          <w:sz w:val="28"/>
        </w:rPr>
      </w:pPr>
    </w:p>
    <w:p w:rsidR="001F616B" w:rsidRDefault="0079325E">
      <w:pPr>
        <w:jc w:val="both"/>
        <w:rPr>
          <w:sz w:val="28"/>
        </w:rPr>
      </w:pPr>
      <w:r>
        <w:rPr>
          <w:sz w:val="28"/>
        </w:rPr>
        <w:t>Губернатор Чукотского</w:t>
      </w:r>
    </w:p>
    <w:p w:rsidR="001F616B" w:rsidRDefault="0079325E">
      <w:pPr>
        <w:jc w:val="both"/>
        <w:rPr>
          <w:sz w:val="28"/>
        </w:rPr>
      </w:pPr>
      <w:r>
        <w:rPr>
          <w:sz w:val="28"/>
        </w:rPr>
        <w:t>автономного округа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В.Г. Кузнецов</w:t>
      </w:r>
    </w:p>
    <w:p w:rsidR="001F616B" w:rsidRDefault="001F616B">
      <w:pPr>
        <w:jc w:val="both"/>
        <w:rPr>
          <w:sz w:val="28"/>
        </w:rPr>
      </w:pPr>
    </w:p>
    <w:p w:rsidR="001F616B" w:rsidRDefault="001F616B">
      <w:pPr>
        <w:jc w:val="both"/>
        <w:rPr>
          <w:sz w:val="28"/>
        </w:rPr>
      </w:pPr>
    </w:p>
    <w:p w:rsidR="001F616B" w:rsidRDefault="0079325E">
      <w:pPr>
        <w:jc w:val="both"/>
        <w:rPr>
          <w:sz w:val="28"/>
        </w:rPr>
      </w:pPr>
      <w:r>
        <w:rPr>
          <w:sz w:val="28"/>
        </w:rPr>
        <w:t>г. Анадырь</w:t>
      </w:r>
    </w:p>
    <w:p w:rsidR="001F616B" w:rsidRDefault="001F616B">
      <w:pPr>
        <w:jc w:val="both"/>
        <w:rPr>
          <w:sz w:val="28"/>
        </w:rPr>
      </w:pPr>
    </w:p>
    <w:p w:rsidR="001F616B" w:rsidRDefault="004A7C86">
      <w:pPr>
        <w:jc w:val="both"/>
        <w:rPr>
          <w:sz w:val="28"/>
        </w:rPr>
      </w:pPr>
      <w:r>
        <w:rPr>
          <w:sz w:val="28"/>
        </w:rPr>
        <w:t>«19» сентября</w:t>
      </w:r>
      <w:r w:rsidR="0079325E">
        <w:rPr>
          <w:sz w:val="28"/>
        </w:rPr>
        <w:t xml:space="preserve"> 2025 года</w:t>
      </w:r>
    </w:p>
    <w:p w:rsidR="001F616B" w:rsidRDefault="001F616B">
      <w:pPr>
        <w:jc w:val="both"/>
        <w:rPr>
          <w:sz w:val="28"/>
        </w:rPr>
      </w:pPr>
    </w:p>
    <w:p w:rsidR="001F616B" w:rsidRDefault="004A7C86">
      <w:pPr>
        <w:pStyle w:val="af3"/>
        <w:rPr>
          <w:sz w:val="28"/>
        </w:rPr>
      </w:pPr>
      <w:r>
        <w:rPr>
          <w:rFonts w:ascii="Times New Roman" w:hAnsi="Times New Roman"/>
          <w:sz w:val="28"/>
        </w:rPr>
        <w:t>№ 60-</w:t>
      </w:r>
      <w:r w:rsidR="0079325E">
        <w:rPr>
          <w:rFonts w:ascii="Times New Roman" w:hAnsi="Times New Roman"/>
          <w:sz w:val="28"/>
        </w:rPr>
        <w:t>ОЗ</w:t>
      </w:r>
    </w:p>
    <w:p w:rsidR="001F616B" w:rsidRDefault="001F616B">
      <w:pPr>
        <w:pStyle w:val="af3"/>
        <w:rPr>
          <w:sz w:val="28"/>
        </w:rPr>
      </w:pPr>
    </w:p>
    <w:sectPr w:rsidR="001F616B">
      <w:headerReference w:type="default" r:id="rId12"/>
      <w:pgSz w:w="11906" w:h="16838"/>
      <w:pgMar w:top="1134" w:right="851" w:bottom="1134" w:left="1418" w:header="34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5E" w:rsidRDefault="0079325E">
      <w:r>
        <w:separator/>
      </w:r>
    </w:p>
  </w:endnote>
  <w:endnote w:type="continuationSeparator" w:id="0">
    <w:p w:rsidR="0079325E" w:rsidRDefault="0079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5E" w:rsidRDefault="0079325E">
      <w:r>
        <w:separator/>
      </w:r>
    </w:p>
  </w:footnote>
  <w:footnote w:type="continuationSeparator" w:id="0">
    <w:p w:rsidR="0079325E" w:rsidRDefault="0079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6B" w:rsidRDefault="0079325E">
    <w:pPr>
      <w:pStyle w:val="aff2"/>
      <w:jc w:val="center"/>
    </w:pPr>
    <w:r>
      <w:fldChar w:fldCharType="begin"/>
    </w:r>
    <w:r>
      <w:instrText xml:space="preserve">PAGE </w:instrText>
    </w:r>
    <w:r>
      <w:fldChar w:fldCharType="separate"/>
    </w:r>
    <w:r w:rsidR="00BD77AA">
      <w:rPr>
        <w:noProof/>
      </w:rPr>
      <w:t>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6B"/>
    <w:rsid w:val="00182D8C"/>
    <w:rsid w:val="001F616B"/>
    <w:rsid w:val="00220C32"/>
    <w:rsid w:val="004A7C86"/>
    <w:rsid w:val="00656B3B"/>
    <w:rsid w:val="0079325E"/>
    <w:rsid w:val="00BD77AA"/>
    <w:rsid w:val="00D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125F"/>
  <w15:docId w15:val="{F1FDD27C-0D43-432C-8089-7301D7B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12"/>
    <w:pPr>
      <w:tabs>
        <w:tab w:val="center" w:pos="4844"/>
        <w:tab w:val="right" w:pos="9689"/>
      </w:tabs>
    </w:pPr>
  </w:style>
  <w:style w:type="character" w:customStyle="1" w:styleId="12">
    <w:name w:val="Нижний колонтитул Знак1"/>
    <w:basedOn w:val="1"/>
    <w:link w:val="a7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styleId="aa">
    <w:name w:val="Title"/>
    <w:next w:val="a4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c">
    <w:name w:val="Верхний колонтитул Знак"/>
    <w:basedOn w:val="14"/>
    <w:link w:val="ad"/>
    <w:rPr>
      <w:sz w:val="24"/>
    </w:rPr>
  </w:style>
  <w:style w:type="character" w:customStyle="1" w:styleId="ad">
    <w:name w:val="Верхний колонтитул Знак"/>
    <w:basedOn w:val="a0"/>
    <w:link w:val="ac"/>
    <w:rPr>
      <w:sz w:val="24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rFonts w:ascii="Times New Roman" w:hAnsi="Times New Roman"/>
      <w:b/>
      <w:color w:val="000000"/>
      <w:sz w:val="24"/>
    </w:rPr>
  </w:style>
  <w:style w:type="paragraph" w:customStyle="1" w:styleId="af0">
    <w:name w:val="Содержимое таблицы"/>
    <w:basedOn w:val="a"/>
    <w:link w:val="af2"/>
    <w:pPr>
      <w:widowControl w:val="0"/>
    </w:pPr>
  </w:style>
  <w:style w:type="character" w:customStyle="1" w:styleId="af2">
    <w:name w:val="Содержимое таблицы"/>
    <w:basedOn w:val="1"/>
    <w:link w:val="af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styleId="af3">
    <w:name w:val="Plain Text"/>
    <w:basedOn w:val="a"/>
    <w:link w:val="af4"/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Pr>
      <w:rFonts w:ascii="Courier New" w:hAnsi="Courier New"/>
      <w:color w:val="000000"/>
      <w:sz w:val="20"/>
    </w:rPr>
  </w:style>
  <w:style w:type="paragraph" w:customStyle="1" w:styleId="16">
    <w:name w:val="Гиперссылка1"/>
    <w:link w:val="af5"/>
    <w:rPr>
      <w:color w:val="000080"/>
      <w:u w:val="single"/>
    </w:rPr>
  </w:style>
  <w:style w:type="character" w:styleId="af5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color w:val="000000"/>
      <w:sz w:val="16"/>
    </w:rPr>
  </w:style>
  <w:style w:type="paragraph" w:customStyle="1" w:styleId="af8">
    <w:name w:val="Нормальный"/>
    <w:basedOn w:val="Standard"/>
    <w:link w:val="af9"/>
  </w:style>
  <w:style w:type="character" w:customStyle="1" w:styleId="af9">
    <w:name w:val="Нормальный"/>
    <w:basedOn w:val="Standard0"/>
    <w:link w:val="af8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color w:val="000000"/>
      <w:sz w:val="28"/>
    </w:rPr>
  </w:style>
  <w:style w:type="paragraph" w:customStyle="1" w:styleId="afa">
    <w:name w:val="Нижний колонтитул Знак"/>
    <w:basedOn w:val="14"/>
    <w:link w:val="afb"/>
    <w:rPr>
      <w:sz w:val="24"/>
    </w:rPr>
  </w:style>
  <w:style w:type="character" w:customStyle="1" w:styleId="afb">
    <w:name w:val="Нижний колонтитул Знак"/>
    <w:basedOn w:val="a0"/>
    <w:link w:val="af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c">
    <w:name w:val="Маркеры"/>
    <w:link w:val="afd"/>
    <w:rPr>
      <w:rFonts w:ascii="OpenSymbol" w:hAnsi="OpenSymbol"/>
    </w:rPr>
  </w:style>
  <w:style w:type="character" w:customStyle="1" w:styleId="afd">
    <w:name w:val="Маркеры"/>
    <w:link w:val="afc"/>
    <w:rPr>
      <w:rFonts w:ascii="OpenSymbol" w:hAnsi="OpenSymbol"/>
    </w:rPr>
  </w:style>
  <w:style w:type="paragraph" w:styleId="afe">
    <w:name w:val="index heading"/>
    <w:basedOn w:val="a"/>
    <w:link w:val="aff"/>
  </w:style>
  <w:style w:type="character" w:customStyle="1" w:styleId="aff">
    <w:name w:val="Указатель Знак"/>
    <w:basedOn w:val="1"/>
    <w:link w:val="afe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ind w:firstLine="720"/>
      <w:jc w:val="both"/>
    </w:p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header"/>
    <w:basedOn w:val="a"/>
    <w:link w:val="19"/>
    <w:pPr>
      <w:tabs>
        <w:tab w:val="center" w:pos="4844"/>
        <w:tab w:val="right" w:pos="9689"/>
      </w:tabs>
    </w:pPr>
  </w:style>
  <w:style w:type="character" w:customStyle="1" w:styleId="19">
    <w:name w:val="Верхний колонтитул Знак1"/>
    <w:basedOn w:val="1"/>
    <w:link w:val="aff2"/>
    <w:rPr>
      <w:rFonts w:ascii="Times New Roman" w:hAnsi="Times New Roman"/>
      <w:color w:val="000000"/>
      <w:sz w:val="24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69989&amp;dst=100021&amp;field=134&amp;date=09.07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714&amp;field=134&amp;date=08.07.202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319&amp;date=10.07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296&amp;n=188050&amp;dst=100115&amp;field=134&amp;date=10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96&amp;n=188050&amp;dst=100018&amp;field=134&amp;date=10.07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5607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2025-09-22T04:05:00Z</cp:lastPrinted>
  <dcterms:created xsi:type="dcterms:W3CDTF">2025-09-22T04:10:00Z</dcterms:created>
  <dcterms:modified xsi:type="dcterms:W3CDTF">2025-09-22T04:10:00Z</dcterms:modified>
</cp:coreProperties>
</file>