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B844FC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июл</w:t>
            </w:r>
            <w:r w:rsidR="003175A4">
              <w:rPr>
                <w:sz w:val="28"/>
              </w:rPr>
              <w:t>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3175A4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4A57A2" w:rsidRPr="001D280D" w:rsidRDefault="001D280D" w:rsidP="001D28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Губернатора Чукотского автономного округа от 15 июня 2022 года № 208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1D280D" w:rsidRDefault="001D280D" w:rsidP="001D280D">
      <w:pPr>
        <w:ind w:firstLine="709"/>
        <w:jc w:val="both"/>
        <w:rPr>
          <w:sz w:val="26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A93149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1D280D" w:rsidRDefault="0062280A" w:rsidP="0062280A">
      <w:pPr>
        <w:jc w:val="both"/>
        <w:rPr>
          <w:sz w:val="28"/>
        </w:rPr>
      </w:pP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1. Внести в Постановление Губернатора Чукотского автономного округа от 15 июня 2022 года № 208 «О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семей» следующие изменения: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дополнить пунктами 1.2-1.4 следующего содержания: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«1.2. При отсутствии членов семей, указанных в пункте 1.1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дети в возрасте от 18 лет и старше.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1.3. При отсутствии членов семей, указанных в пунктах 1.1, 1.2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полнородные и неполнородные братья и сестры.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  <w:sectPr w:rsidR="001D280D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  <w:r>
        <w:rPr>
          <w:sz w:val="28"/>
        </w:rPr>
        <w:t xml:space="preserve">1.4. При отсутствии членов семей, указанных в пунктах 1.1-1.3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 подпункта 2  пункта 1 настоящего  постановления,   абзацах </w:t>
      </w:r>
    </w:p>
    <w:p w:rsidR="001D280D" w:rsidRDefault="001D280D" w:rsidP="001D280D">
      <w:pPr>
        <w:pStyle w:val="a9"/>
        <w:tabs>
          <w:tab w:val="left" w:pos="709"/>
        </w:tabs>
        <w:ind w:firstLine="0"/>
        <w:rPr>
          <w:sz w:val="28"/>
        </w:rPr>
      </w:pPr>
      <w:r>
        <w:rPr>
          <w:sz w:val="28"/>
        </w:rPr>
        <w:lastRenderedPageBreak/>
        <w:t>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граждане, признанные в судебном порядке фактически воспитывавшими и содержавшими граждан, указанных в абзацах                         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в течение не менее пяти лет до достижения ими совершеннолетия.».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</w:t>
      </w:r>
      <w:r>
        <w:rPr>
          <w:sz w:val="28"/>
        </w:rPr>
        <w:br/>
        <w:t xml:space="preserve">на Департамент социальной политики Чукотского автономного округа </w:t>
      </w:r>
      <w:r>
        <w:rPr>
          <w:sz w:val="28"/>
        </w:rPr>
        <w:br/>
        <w:t>(Брянцева Л.Н.).</w:t>
      </w: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1D280D" w:rsidRDefault="001D280D" w:rsidP="0062280A">
      <w:pPr>
        <w:jc w:val="center"/>
        <w:rPr>
          <w:sz w:val="28"/>
        </w:rPr>
      </w:pPr>
    </w:p>
    <w:p w:rsidR="001D280D" w:rsidRDefault="001D280D" w:rsidP="0062280A">
      <w:pPr>
        <w:jc w:val="center"/>
        <w:rPr>
          <w:sz w:val="28"/>
        </w:rPr>
      </w:pPr>
      <w:bookmarkStart w:id="0" w:name="_GoBack"/>
      <w:bookmarkEnd w:id="0"/>
    </w:p>
    <w:sectPr w:rsidR="001D280D" w:rsidSect="001D280D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B2" w:rsidRDefault="00E96FB2">
      <w:r>
        <w:separator/>
      </w:r>
    </w:p>
  </w:endnote>
  <w:endnote w:type="continuationSeparator" w:id="0">
    <w:p w:rsidR="00E96FB2" w:rsidRDefault="00E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B2" w:rsidRDefault="00E96FB2">
      <w:r>
        <w:separator/>
      </w:r>
    </w:p>
  </w:footnote>
  <w:footnote w:type="continuationSeparator" w:id="0">
    <w:p w:rsidR="00E96FB2" w:rsidRDefault="00E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280D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175A4"/>
    <w:rsid w:val="00336D16"/>
    <w:rsid w:val="00336EA6"/>
    <w:rsid w:val="003505E4"/>
    <w:rsid w:val="00374705"/>
    <w:rsid w:val="00380377"/>
    <w:rsid w:val="00395D42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844FC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37E7D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FDDFC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A1C0-A4D1-4EC2-9CC2-E1ADEDA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2851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Жилина Алина Олеговна</cp:lastModifiedBy>
  <cp:revision>2</cp:revision>
  <cp:lastPrinted>2025-07-13T23:07:00Z</cp:lastPrinted>
  <dcterms:created xsi:type="dcterms:W3CDTF">2025-07-13T23:11:00Z</dcterms:created>
  <dcterms:modified xsi:type="dcterms:W3CDTF">2025-07-13T23:11:00Z</dcterms:modified>
</cp:coreProperties>
</file>